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/>
    <w:p/>
    <w:p/>
    <w:p/>
    <w:p/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单相导轨式费控智能电能表</w:t>
      </w:r>
    </w:p>
    <w:p>
      <w:pPr>
        <w:jc w:val="center"/>
        <w:rPr>
          <w:sz w:val="41"/>
        </w:rPr>
      </w:pPr>
    </w:p>
    <w:p>
      <w:pPr>
        <w:jc w:val="center"/>
        <w:rPr>
          <w:sz w:val="41"/>
        </w:rPr>
      </w:pPr>
    </w:p>
    <w:p>
      <w:pPr>
        <w:jc w:val="center"/>
        <w:rPr>
          <w:b/>
          <w:sz w:val="41"/>
        </w:rPr>
      </w:pPr>
      <w:r>
        <w:rPr>
          <w:rFonts w:hint="eastAsia"/>
          <w:b/>
          <w:sz w:val="41"/>
        </w:rPr>
        <w:t>产品说明书</w:t>
      </w:r>
    </w:p>
    <w:p>
      <w:pPr>
        <w:jc w:val="center"/>
        <w:rPr>
          <w:rFonts w:asciiTheme="minorEastAsia" w:hAnsiTheme="minorEastAsia" w:eastAsiaTheme="minorEastAsia"/>
          <w:b/>
          <w:sz w:val="41"/>
        </w:rPr>
      </w:pPr>
      <w:r>
        <w:rPr>
          <w:rFonts w:hint="eastAsia"/>
          <w:sz w:val="41"/>
        </w:rPr>
        <w:t xml:space="preserve"> </w:t>
      </w:r>
      <w:r>
        <w:rPr>
          <w:rFonts w:hint="eastAsia" w:asciiTheme="minorEastAsia" w:hAnsiTheme="minorEastAsia" w:eastAsiaTheme="minorEastAsia"/>
          <w:b/>
          <w:sz w:val="41"/>
        </w:rPr>
        <w:t>V1.0</w:t>
      </w: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 w:cs="宋体"/>
          <w:b/>
          <w:sz w:val="44"/>
          <w:szCs w:val="44"/>
        </w:rPr>
      </w:pPr>
    </w:p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录</w:t>
      </w:r>
    </w:p>
    <w:p>
      <w:pPr>
        <w:pStyle w:val="10"/>
        <w:tabs>
          <w:tab w:val="right" w:leader="dot" w:pos="9214"/>
        </w:tabs>
        <w:spacing w:line="276" w:lineRule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 \u </w:instrText>
      </w:r>
      <w:r>
        <w:rPr>
          <w:rFonts w:hint="eastAsia"/>
        </w:rPr>
        <w:fldChar w:fldCharType="separate"/>
      </w:r>
      <w:r>
        <w:fldChar w:fldCharType="begin"/>
      </w:r>
      <w:r>
        <w:instrText xml:space="preserve"> HYPERLINK \l "_Toc8242" </w:instrText>
      </w:r>
      <w:r>
        <w:fldChar w:fldCharType="separate"/>
      </w:r>
      <w:r>
        <w:rPr>
          <w:rFonts w:hint="eastAsia"/>
        </w:rPr>
        <w:t>一、概述</w:t>
      </w:r>
      <w:r>
        <w:tab/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"_Toc29590" </w:instrText>
      </w:r>
      <w:r>
        <w:fldChar w:fldCharType="separate"/>
      </w:r>
      <w:r>
        <w:rPr>
          <w:rFonts w:hint="eastAsia"/>
        </w:rPr>
        <w:t>二、产品规格</w:t>
      </w:r>
      <w:r>
        <w:tab/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"_Toc24530" </w:instrText>
      </w:r>
      <w:r>
        <w:fldChar w:fldCharType="separate"/>
      </w:r>
      <w:r>
        <w:rPr>
          <w:rFonts w:hint="eastAsia"/>
        </w:rPr>
        <w:t>三、技术参数</w:t>
      </w:r>
      <w:r>
        <w:tab/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"_Toc12754" </w:instrText>
      </w:r>
      <w:r>
        <w:fldChar w:fldCharType="separate"/>
      </w:r>
      <w:r>
        <w:rPr>
          <w:rFonts w:hint="eastAsia"/>
        </w:rPr>
        <w:t>四、安装与接线</w:t>
      </w:r>
      <w:r>
        <w:tab/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13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"_Toc23018" </w:instrText>
      </w:r>
      <w:r>
        <w:fldChar w:fldCharType="separate"/>
      </w:r>
      <w:r>
        <w:rPr>
          <w:rFonts w:hint="eastAsia"/>
        </w:rPr>
        <w:t>4.1安装外形图及接线图</w:t>
      </w:r>
      <w:r>
        <w:tab/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"_Toc8396" </w:instrText>
      </w:r>
      <w:r>
        <w:fldChar w:fldCharType="separate"/>
      </w:r>
      <w:r>
        <w:rPr>
          <w:rFonts w:hint="eastAsia"/>
        </w:rPr>
        <w:t>4.1.1 外形及尺寸</w:t>
      </w:r>
      <w:r>
        <w:tab/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"_Toc601" </w:instrText>
      </w:r>
      <w:r>
        <w:fldChar w:fldCharType="separate"/>
      </w:r>
      <w:r>
        <w:rPr>
          <w:rFonts w:hint="eastAsia"/>
        </w:rPr>
        <w:t>4.1.2 安装图</w:t>
      </w:r>
      <w:r>
        <w:tab/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"_Toc8198" </w:instrText>
      </w:r>
      <w:r>
        <w:fldChar w:fldCharType="separate"/>
      </w:r>
      <w:r>
        <w:rPr>
          <w:rFonts w:hint="eastAsia"/>
        </w:rPr>
        <w:t>4.1.3 接线图</w:t>
      </w:r>
      <w:r>
        <w:tab/>
      </w:r>
      <w:r>
        <w:rPr>
          <w:rFonts w:hint="eastAsia"/>
        </w:rPr>
        <w:t>4</w:t>
      </w:r>
      <w:r>
        <w:rPr>
          <w:rFonts w:hint="eastAsia"/>
        </w:rPr>
        <w:fldChar w:fldCharType="end"/>
      </w:r>
    </w:p>
    <w:p>
      <w:pPr>
        <w:pStyle w:val="13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"_Toc4407" </w:instrText>
      </w:r>
      <w:r>
        <w:fldChar w:fldCharType="separate"/>
      </w:r>
      <w:r>
        <w:rPr>
          <w:rFonts w:hint="eastAsia"/>
        </w:rPr>
        <w:t>4.2安装注意事项及方法</w:t>
      </w:r>
      <w:r>
        <w:tab/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"_Toc27499" </w:instrText>
      </w:r>
      <w:r>
        <w:fldChar w:fldCharType="separate"/>
      </w:r>
      <w:r>
        <w:rPr>
          <w:rFonts w:hint="eastAsia"/>
        </w:rPr>
        <w:t>五、使用说明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13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"_Toc28203" </w:instrText>
      </w:r>
      <w:r>
        <w:fldChar w:fldCharType="separate"/>
      </w:r>
      <w:r>
        <w:rPr>
          <w:rFonts w:hint="eastAsia"/>
        </w:rPr>
        <w:t>5.1 面板说明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13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"_Toc8649" </w:instrText>
      </w:r>
      <w:r>
        <w:fldChar w:fldCharType="separate"/>
      </w:r>
      <w:r>
        <w:rPr>
          <w:rFonts w:hint="eastAsia"/>
        </w:rPr>
        <w:t>5.2 功能说明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13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"_Toc17283" </w:instrText>
      </w:r>
      <w:r>
        <w:fldChar w:fldCharType="separate"/>
      </w:r>
      <w:r>
        <w:rPr>
          <w:rFonts w:hint="eastAsia"/>
        </w:rPr>
        <w:t>5.3 显示说明</w:t>
      </w:r>
      <w:r>
        <w:tab/>
      </w:r>
      <w:r>
        <w:rPr>
          <w:rFonts w:hint="eastAsia"/>
        </w:rPr>
        <w:t>7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"_Toc6151" </w:instrText>
      </w:r>
      <w:r>
        <w:fldChar w:fldCharType="separate"/>
      </w:r>
      <w:r>
        <w:rPr>
          <w:rFonts w:hint="eastAsia"/>
        </w:rPr>
        <w:t>5.3.1 液晶显示说明</w:t>
      </w:r>
      <w:r>
        <w:tab/>
      </w:r>
      <w:r>
        <w:rPr>
          <w:rFonts w:hint="eastAsia"/>
        </w:rPr>
        <w:t>7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"_Toc24344" </w:instrText>
      </w:r>
      <w:r>
        <w:fldChar w:fldCharType="separate"/>
      </w:r>
      <w:r>
        <w:rPr>
          <w:rFonts w:hint="eastAsia"/>
        </w:rPr>
        <w:t>5.3.2 液晶显示</w:t>
      </w:r>
      <w:r>
        <w:rPr>
          <w:rFonts w:hint="eastAsia"/>
          <w:lang w:eastAsia="zh-CN"/>
        </w:rPr>
        <w:t>模式</w:t>
      </w:r>
      <w:r>
        <w:tab/>
      </w:r>
      <w:r>
        <w:rPr>
          <w:rFonts w:hint="eastAsia"/>
        </w:rPr>
        <w:t>7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"_Toc9978" </w:instrText>
      </w:r>
      <w:r>
        <w:fldChar w:fldCharType="separate"/>
      </w:r>
      <w:r>
        <w:rPr>
          <w:rFonts w:hint="eastAsia"/>
        </w:rPr>
        <w:t>5.3.3 循环显示</w:t>
      </w:r>
      <w:r>
        <w:tab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"_Toc9978" </w:instrText>
      </w:r>
      <w:r>
        <w:fldChar w:fldCharType="separate"/>
      </w:r>
      <w:r>
        <w:rPr>
          <w:rFonts w:hint="eastAsia"/>
        </w:rPr>
        <w:t>5.3.4 停电显示功能</w:t>
      </w:r>
      <w:r>
        <w:tab/>
      </w:r>
      <w:r>
        <w:rPr>
          <w:rFonts w:hint="eastAsia"/>
        </w:rPr>
        <w:t>8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"_Toc9978" </w:instrText>
      </w:r>
      <w:r>
        <w:fldChar w:fldCharType="separate"/>
      </w:r>
      <w:r>
        <w:rPr>
          <w:rFonts w:hint="eastAsia"/>
        </w:rPr>
        <w:t>5.3.5液晶背光功能</w:t>
      </w:r>
      <w:r>
        <w:tab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"_Toc9978" </w:instrText>
      </w:r>
      <w:r>
        <w:fldChar w:fldCharType="separate"/>
      </w:r>
      <w:r>
        <w:rPr>
          <w:rFonts w:hint="eastAsia"/>
        </w:rPr>
        <w:t>5.3.6 系统错误显示</w:t>
      </w:r>
      <w:r>
        <w:tab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fldChar w:fldCharType="end"/>
      </w:r>
    </w:p>
    <w:p>
      <w:pPr>
        <w:pStyle w:val="7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"_Toc9978" </w:instrText>
      </w:r>
      <w:r>
        <w:fldChar w:fldCharType="separate"/>
      </w:r>
      <w:r>
        <w:rPr>
          <w:rFonts w:hint="eastAsia"/>
        </w:rPr>
        <w:t>5.3.7 显示画面含义</w:t>
      </w:r>
      <w:r>
        <w:tab/>
      </w:r>
      <w:r>
        <w:rPr>
          <w:rFonts w:hint="eastAsia"/>
        </w:rPr>
        <w:t>9</w:t>
      </w:r>
      <w:r>
        <w:rPr>
          <w:rFonts w:hint="eastAsia"/>
        </w:rPr>
        <w:fldChar w:fldCharType="end"/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"_Toc20753" </w:instrText>
      </w:r>
      <w:r>
        <w:fldChar w:fldCharType="separate"/>
      </w:r>
      <w:r>
        <w:rPr>
          <w:rFonts w:hint="eastAsia"/>
        </w:rPr>
        <w:t>六、脉冲</w:t>
      </w:r>
      <w:r>
        <w:rPr>
          <w:rFonts w:hint="eastAsia"/>
          <w:lang w:eastAsia="zh-CN"/>
        </w:rPr>
        <w:t>输出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12</w:t>
      </w:r>
    </w:p>
    <w:p>
      <w:pPr>
        <w:pStyle w:val="10"/>
        <w:tabs>
          <w:tab w:val="right" w:leader="dot" w:pos="9214"/>
        </w:tabs>
        <w:spacing w:line="276" w:lineRule="auto"/>
      </w:pPr>
      <w:r>
        <w:fldChar w:fldCharType="begin"/>
      </w:r>
      <w:r>
        <w:instrText xml:space="preserve"> HYPERLINK \l "_Toc23648" </w:instrText>
      </w:r>
      <w:r>
        <w:fldChar w:fldCharType="separate"/>
      </w:r>
      <w:r>
        <w:rPr>
          <w:rFonts w:hint="eastAsia"/>
        </w:rPr>
        <w:t>七、通讯协议数据标识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12</w:t>
      </w:r>
    </w:p>
    <w:p>
      <w:pPr>
        <w:ind w:firstLine="420"/>
      </w:pPr>
      <w:r>
        <w:rPr>
          <w:rFonts w:hint="eastAsia"/>
        </w:rPr>
        <w:fldChar w:fldCharType="end"/>
      </w:r>
      <w:r>
        <w:rPr>
          <w:rFonts w:hint="eastAsia"/>
        </w:rPr>
        <w:t>表A.1电能量数据标识编码表</w:t>
      </w:r>
      <w:r>
        <w:t>…………………………………………………………………………………………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t>………………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>2</w:t>
      </w:r>
    </w:p>
    <w:p>
      <w:pPr>
        <w:ind w:firstLine="420"/>
      </w:pPr>
      <w:r>
        <w:rPr>
          <w:rFonts w:hint="eastAsia"/>
        </w:rPr>
        <w:t>表A.2</w:t>
      </w:r>
      <w:r>
        <w:rPr>
          <w:rFonts w:hint="eastAsia"/>
          <w:lang w:eastAsia="zh-CN"/>
        </w:rPr>
        <w:t>变量</w:t>
      </w:r>
      <w:r>
        <w:rPr>
          <w:rFonts w:hint="eastAsia"/>
        </w:rPr>
        <w:t>数据标识编码表</w:t>
      </w:r>
      <w:r>
        <w:t>………………</w:t>
      </w:r>
      <w:r>
        <w:rPr>
          <w:rFonts w:hint="eastAsia"/>
        </w:rPr>
        <w:t>.</w:t>
      </w:r>
      <w:r>
        <w:t>………………………………………………………………………………………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t>……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>4</w:t>
      </w:r>
    </w:p>
    <w:p>
      <w:pPr>
        <w:ind w:firstLine="420"/>
      </w:pPr>
      <w:r>
        <w:rPr>
          <w:rFonts w:hint="eastAsia"/>
        </w:rPr>
        <w:t>表A.3事件记录数据标识编码表</w:t>
      </w:r>
      <w:r>
        <w:t>………………………………………………………………………………………………………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>4</w:t>
      </w:r>
    </w:p>
    <w:p>
      <w:pPr>
        <w:ind w:firstLine="420" w:firstLineChars="200"/>
      </w:pPr>
      <w:r>
        <w:rPr>
          <w:rFonts w:hint="eastAsia"/>
        </w:rPr>
        <w:t>表A.4参变量数据标识编码表</w:t>
      </w:r>
      <w:r>
        <w:t>…………………………………………………………………………………………………………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>4</w:t>
      </w:r>
    </w:p>
    <w:p>
      <w:pPr>
        <w:ind w:firstLine="420" w:firstLineChars="200"/>
      </w:pPr>
      <w:r>
        <w:rPr>
          <w:rFonts w:hint="eastAsia"/>
        </w:rPr>
        <w:t>表A.5冻结数据标识编码表</w:t>
      </w:r>
      <w:r>
        <w:t>……………………………</w:t>
      </w:r>
      <w:r>
        <w:rPr>
          <w:rFonts w:hint="eastAsia"/>
        </w:rPr>
        <w:t>.</w:t>
      </w:r>
      <w:r>
        <w:t>………………………………………………………………………………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16</w:t>
      </w:r>
    </w:p>
    <w:p/>
    <w:p/>
    <w:p/>
    <w:p/>
    <w:p/>
    <w:p/>
    <w:p/>
    <w:p/>
    <w:p/>
    <w:p/>
    <w:p/>
    <w:p/>
    <w:p>
      <w:pPr>
        <w:spacing w:line="276" w:lineRule="auto"/>
        <w:rPr>
          <w:b/>
          <w:sz w:val="28"/>
          <w:szCs w:val="28"/>
        </w:rPr>
      </w:pPr>
      <w:bookmarkStart w:id="0" w:name="_Toc8242"/>
      <w:r>
        <w:rPr>
          <w:rFonts w:hint="eastAsia"/>
          <w:b/>
          <w:sz w:val="28"/>
          <w:szCs w:val="28"/>
        </w:rPr>
        <w:t>一、概述</w:t>
      </w:r>
      <w:bookmarkEnd w:id="0"/>
    </w:p>
    <w:p>
      <w:pPr>
        <w:spacing w:line="276" w:lineRule="auto"/>
        <w:ind w:firstLine="420" w:firstLineChars="200"/>
      </w:pPr>
      <w:r>
        <w:rPr>
          <w:rFonts w:hint="eastAsia"/>
        </w:rPr>
        <w:t>单相导轨式费控智能电能表（以下简称电能表）是本公司集多年的电表设计经验，所推出的新一代高科技电能计量产品。 该电能表采用LCD显示，可进行时钟、费率时段设置，并具有电能脉冲输出，红外线功能；可用RS485通讯接口与上位机实现数据交换，极大地方便了用电自动化管理。并具备内部通断功能，内置100A磁保持继电器，可远程控制电能表拉合闸，配合用电管理系统能够实现预付费、后付费等功能。</w:t>
      </w:r>
    </w:p>
    <w:p>
      <w:pPr>
        <w:spacing w:line="276" w:lineRule="auto"/>
        <w:ind w:firstLine="420"/>
        <w:rPr>
          <w:color w:val="00B0F0"/>
        </w:rPr>
      </w:pPr>
      <w:r>
        <w:rPr>
          <w:rFonts w:hint="eastAsia"/>
        </w:rPr>
        <w:t>该电能表具有体积小、精度高、可靠性好、安装方便等优点，性能指标符合国际GB/T17215.321-2008、电力行业DL/T645-2007对电能表的各项技术要求。</w:t>
      </w:r>
    </w:p>
    <w:p>
      <w:pPr>
        <w:spacing w:line="160" w:lineRule="exact"/>
        <w:ind w:firstLine="420"/>
      </w:pPr>
    </w:p>
    <w:p>
      <w:pPr>
        <w:spacing w:line="276" w:lineRule="auto"/>
        <w:rPr>
          <w:b/>
          <w:sz w:val="28"/>
          <w:szCs w:val="28"/>
        </w:rPr>
      </w:pPr>
      <w:bookmarkStart w:id="1" w:name="_Toc29590"/>
      <w:r>
        <w:rPr>
          <w:rFonts w:hint="eastAsia"/>
          <w:b/>
          <w:sz w:val="28"/>
          <w:szCs w:val="28"/>
        </w:rPr>
        <w:t>二、产品规格</w:t>
      </w:r>
      <w:bookmarkEnd w:id="1"/>
    </w:p>
    <w:tbl>
      <w:tblPr>
        <w:tblStyle w:val="17"/>
        <w:tblW w:w="8426" w:type="dxa"/>
        <w:jc w:val="center"/>
        <w:tblInd w:w="-10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414"/>
        <w:gridCol w:w="1419"/>
        <w:gridCol w:w="1419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产品系列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电流规格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脉冲常数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单相导轨式费控智能电能表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1级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</w:pPr>
            <w:r>
              <w:t>220V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)A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imp/kWh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)A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imp/kWh</w:t>
            </w:r>
          </w:p>
        </w:tc>
      </w:tr>
    </w:tbl>
    <w:p>
      <w:pPr>
        <w:spacing w:line="160" w:lineRule="exact"/>
        <w:rPr>
          <w:b/>
          <w:sz w:val="28"/>
          <w:szCs w:val="28"/>
        </w:rPr>
      </w:pPr>
      <w:bookmarkStart w:id="2" w:name="_Toc24530"/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三、技术参数</w:t>
      </w:r>
      <w:bookmarkEnd w:id="2"/>
    </w:p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382"/>
        <w:gridCol w:w="6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参比电压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t>220V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电流规格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5(60)A、10(100)A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6004" w:type="dxa"/>
            <w:vAlign w:val="center"/>
          </w:tcPr>
          <w:p>
            <w:r>
              <w:rPr>
                <w:rFonts w:hint="eastAsia"/>
              </w:rPr>
              <w:t>正常工作电压范围：0.9～1.1Un极限工作电压范围：0.7～1.2Un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参比频率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50Hz 或60Hz(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</w:rPr>
              <w:t>2.5Hz)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潜动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硬件防潜动逻辑电路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起动电流</w:t>
            </w:r>
          </w:p>
        </w:tc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直接接入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0.004Ib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功耗</w:t>
            </w: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电压线路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≤5VA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电流线路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&lt;4VA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脉冲输出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脉冲宽度：80ms±20ms；光耦隔离，集电极开路输出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6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RS485接口、红外通讯</w:t>
            </w:r>
            <w:r>
              <w:rPr>
                <w:rFonts w:hint="eastAsia"/>
              </w:rPr>
              <w:t>，DL/T 645-2007规约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时钟误差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≤0.5s/d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温度范围</w:t>
            </w:r>
          </w:p>
        </w:tc>
        <w:tc>
          <w:tcPr>
            <w:tcW w:w="6004" w:type="dxa"/>
            <w:tcBorders>
              <w:top w:val="single" w:color="auto" w:sz="4" w:space="0"/>
            </w:tcBorders>
            <w:vAlign w:val="center"/>
          </w:tcPr>
          <w:p>
            <w:pPr>
              <w:ind w:firstLine="1575" w:firstLineChars="750"/>
            </w:pPr>
            <w:r>
              <w:rPr>
                <w:rFonts w:hint="eastAsia"/>
              </w:rPr>
              <w:t>正常工作温度：-10℃~+45℃</w:t>
            </w:r>
          </w:p>
          <w:p>
            <w:pPr>
              <w:jc w:val="center"/>
            </w:pPr>
            <w:r>
              <w:rPr>
                <w:rFonts w:hint="eastAsia"/>
              </w:rPr>
              <w:t>极限工作温度：-25℃～+55℃</w:t>
            </w:r>
          </w:p>
          <w:p>
            <w:pPr>
              <w:jc w:val="center"/>
            </w:pPr>
            <w:r>
              <w:rPr>
                <w:rFonts w:hint="eastAsia"/>
              </w:rPr>
              <w:t>存储温度：    -25℃～+70℃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≤75%(年平均)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平均无故障工作时间</w:t>
            </w:r>
          </w:p>
        </w:tc>
        <w:tc>
          <w:tcPr>
            <w:tcW w:w="60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≥50000h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1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外形尺寸（W×D×H）</w:t>
            </w:r>
          </w:p>
        </w:tc>
        <w:tc>
          <w:tcPr>
            <w:tcW w:w="6004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(mm)</w:t>
            </w:r>
          </w:p>
        </w:tc>
      </w:tr>
    </w:tbl>
    <w:p>
      <w:pPr>
        <w:spacing w:line="276" w:lineRule="auto"/>
      </w:pPr>
      <w:bookmarkStart w:id="3" w:name="_Toc12754"/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四、安装与接线</w:t>
      </w:r>
      <w:bookmarkEnd w:id="3"/>
      <w:bookmarkStart w:id="4" w:name="_Toc23018"/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4.1 安装外形图及接线图</w:t>
      </w:r>
      <w:bookmarkEnd w:id="4"/>
    </w:p>
    <w:p>
      <w:pPr>
        <w:spacing w:line="276" w:lineRule="auto"/>
        <w:ind w:firstLine="422" w:firstLineChars="200"/>
        <w:rPr>
          <w:b/>
        </w:rPr>
      </w:pPr>
      <w:bookmarkStart w:id="5" w:name="_Toc8396"/>
      <w:r>
        <w:rPr>
          <w:rFonts w:hint="eastAsia"/>
          <w:b/>
        </w:rPr>
        <w:t>4.1.1 外形及尺寸</w:t>
      </w:r>
      <w:bookmarkEnd w:id="5"/>
      <w:r>
        <w:rPr>
          <w:rFonts w:hint="eastAsia"/>
        </w:rPr>
        <w:t>（单位mm）</w:t>
      </w:r>
    </w:p>
    <w:p>
      <w:pPr>
        <w:ind w:firstLine="630" w:firstLineChars="300"/>
      </w:pPr>
      <w:r>
        <w:drawing>
          <wp:inline distT="0" distB="0" distL="0" distR="0">
            <wp:extent cx="2504440" cy="1905000"/>
            <wp:effectExtent l="0" t="508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4187" t="15422" r="34036" b="459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1704" cy="19107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drawing>
          <wp:inline distT="0" distB="0" distL="0" distR="0">
            <wp:extent cx="2504440" cy="1746250"/>
            <wp:effectExtent l="0" t="1905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34187" t="55876" r="34036" b="867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1704" cy="1751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</w:pPr>
      <w:r>
        <w:rPr>
          <w:rFonts w:hint="eastAsia"/>
        </w:rPr>
        <w:t xml:space="preserve">                 正视图                                        侧视图</w:t>
      </w:r>
    </w:p>
    <w:p>
      <w:pPr>
        <w:ind w:firstLine="105" w:firstLineChars="50"/>
      </w:pPr>
    </w:p>
    <w:p>
      <w:pPr>
        <w:spacing w:line="276" w:lineRule="auto"/>
        <w:ind w:firstLine="422" w:firstLineChars="200"/>
        <w:rPr>
          <w:b/>
        </w:rPr>
      </w:pPr>
      <w:bookmarkStart w:id="6" w:name="_Toc601"/>
      <w:r>
        <w:rPr>
          <w:rFonts w:hint="eastAsia"/>
          <w:b/>
        </w:rPr>
        <w:t>4.1.2 安装图</w:t>
      </w:r>
      <w:bookmarkEnd w:id="6"/>
    </w:p>
    <w:p>
      <w:pPr>
        <w:ind w:firstLine="945" w:firstLineChars="450"/>
      </w:pPr>
      <w:r>
        <w:rPr>
          <w:rFonts w:hint="eastAsia"/>
        </w:rPr>
        <w:t>电能表采用35mm标准导轨安装方式，如图：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477385" cy="1534160"/>
            <wp:effectExtent l="0" t="0" r="0" b="8890"/>
            <wp:docPr id="2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框 1026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71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_Toc8198"/>
    </w:p>
    <w:p>
      <w:pPr>
        <w:spacing w:line="276" w:lineRule="auto"/>
        <w:ind w:firstLine="422" w:firstLineChars="200"/>
        <w:rPr>
          <w:b/>
        </w:rPr>
      </w:pPr>
      <w:r>
        <w:rPr>
          <w:rFonts w:hint="eastAsia"/>
          <w:b/>
        </w:rPr>
        <w:t>4.1.3 接线图</w:t>
      </w:r>
      <w:bookmarkEnd w:id="7"/>
    </w:p>
    <w:p>
      <w:pPr>
        <w:ind w:firstLine="945" w:firstLineChars="450"/>
      </w:pPr>
      <w:r>
        <w:rPr>
          <w:rFonts w:hint="eastAsia"/>
        </w:rPr>
        <w:t>电能表仅支持直接接入接线方式。</w:t>
      </w:r>
    </w:p>
    <w:p>
      <w:pPr>
        <w:spacing w:line="276" w:lineRule="auto"/>
        <w:ind w:firstLine="420" w:firstLineChars="200"/>
        <w:jc w:val="center"/>
      </w:pPr>
      <w:r>
        <w:drawing>
          <wp:inline distT="0" distB="0" distL="0" distR="0">
            <wp:extent cx="2541905" cy="3495675"/>
            <wp:effectExtent l="0" t="635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l="41667" t="17777" r="25000" b="888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2309" cy="3495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241" w:firstLineChars="100"/>
        <w:rPr>
          <w:b/>
          <w:sz w:val="24"/>
          <w:szCs w:val="24"/>
        </w:rPr>
      </w:pPr>
      <w:bookmarkStart w:id="8" w:name="_Toc4407"/>
      <w:r>
        <w:rPr>
          <w:rFonts w:hint="eastAsia"/>
          <w:b/>
          <w:sz w:val="24"/>
          <w:szCs w:val="24"/>
        </w:rPr>
        <w:t>4.2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安装注意事项及方法</w:t>
      </w:r>
      <w:bookmarkEnd w:id="8"/>
    </w:p>
    <w:p>
      <w:pPr>
        <w:spacing w:line="276" w:lineRule="auto"/>
        <w:ind w:firstLine="420" w:firstLineChars="200"/>
      </w:pPr>
      <w:r>
        <w:rPr>
          <w:rFonts w:hint="eastAsia"/>
        </w:rPr>
        <w:t>4.2.1电能表应安装在室内通风干燥的地方，采用35mm标准导轨方式安装。</w:t>
      </w:r>
    </w:p>
    <w:p>
      <w:pPr>
        <w:spacing w:line="276" w:lineRule="auto"/>
        <w:ind w:left="945" w:leftChars="200" w:hanging="525" w:hangingChars="250"/>
      </w:pPr>
      <w:r>
        <w:rPr>
          <w:rFonts w:hint="eastAsia"/>
        </w:rPr>
        <w:t>4.2.2电能表安装接线规范应符合：中华人民共和国电力行业标准DL/T825-2002标准要求，安装接线时必须严格按照电能表侧面的接线图进行接线，最好用铜接线头接入。接线时应注意进线和出线方向，并将螺钉拧紧，避免因接触不良而引起电能表工作不正常，接线通电后，查看显示画面，以判断接线及电能表运行情况。</w:t>
      </w:r>
    </w:p>
    <w:p>
      <w:pPr>
        <w:spacing w:line="276" w:lineRule="auto"/>
        <w:ind w:left="840" w:leftChars="150" w:hanging="525" w:hangingChars="250"/>
      </w:pPr>
      <w:r>
        <w:rPr>
          <w:rFonts w:hint="eastAsia"/>
        </w:rPr>
        <w:t>4.2.3必须严格按照标牌上标明的电压等级接入电压，如果接入电压大于额定电压的1.5倍，即使短时间内也可能造成电能表的损坏，不能将火线或者零线串接起来，否则会因多个用户电流集中流过端子导致过载烧坏。</w:t>
      </w:r>
    </w:p>
    <w:p>
      <w:pPr>
        <w:spacing w:line="276" w:lineRule="auto"/>
        <w:ind w:left="945" w:leftChars="150" w:hanging="630" w:hangingChars="300"/>
        <w:rPr>
          <w:color w:val="FF0000"/>
        </w:rPr>
      </w:pPr>
      <w:r>
        <w:rPr>
          <w:rFonts w:hint="eastAsia"/>
        </w:rPr>
        <w:t>4.2.4 电能表运输和拆封不应受到剧烈冲击，应根据GB/T13384-2008&lt;&lt;机电产品包装通用技术条件&gt;&gt;的规定运输和储存。</w:t>
      </w:r>
    </w:p>
    <w:p>
      <w:pPr>
        <w:spacing w:line="276" w:lineRule="auto"/>
        <w:rPr>
          <w:b/>
          <w:sz w:val="28"/>
          <w:szCs w:val="28"/>
        </w:rPr>
      </w:pPr>
      <w:bookmarkStart w:id="9" w:name="_Toc27499"/>
      <w:r>
        <w:rPr>
          <w:rFonts w:hint="eastAsia"/>
          <w:b/>
          <w:sz w:val="28"/>
          <w:szCs w:val="28"/>
        </w:rPr>
        <w:t>五、使用说明</w:t>
      </w:r>
      <w:bookmarkEnd w:id="9"/>
    </w:p>
    <w:p>
      <w:pPr>
        <w:spacing w:line="276" w:lineRule="auto"/>
        <w:ind w:firstLine="241" w:firstLineChars="100"/>
        <w:rPr>
          <w:b/>
          <w:color w:val="FF0000"/>
          <w:sz w:val="24"/>
          <w:szCs w:val="24"/>
        </w:rPr>
      </w:pPr>
      <w:bookmarkStart w:id="10" w:name="_Toc28203"/>
      <w:r>
        <w:rPr>
          <w:rFonts w:hint="eastAsia"/>
          <w:b/>
          <w:sz w:val="24"/>
          <w:szCs w:val="24"/>
        </w:rPr>
        <w:t>5.1面板</w:t>
      </w:r>
      <w:bookmarkEnd w:id="10"/>
      <w:r>
        <w:rPr>
          <w:rFonts w:hint="eastAsia"/>
          <w:b/>
          <w:sz w:val="24"/>
          <w:szCs w:val="24"/>
        </w:rPr>
        <w:t>说明</w:t>
      </w:r>
    </w:p>
    <w:p>
      <w:pPr>
        <w:jc w:val="center"/>
      </w:pPr>
      <w:r>
        <w:drawing>
          <wp:inline distT="0" distB="0" distL="114300" distR="114300">
            <wp:extent cx="2151380" cy="4810125"/>
            <wp:effectExtent l="0" t="0" r="952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138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241" w:firstLineChars="100"/>
        <w:rPr>
          <w:b/>
          <w:sz w:val="24"/>
          <w:szCs w:val="24"/>
        </w:rPr>
      </w:pPr>
      <w:bookmarkStart w:id="11" w:name="_Toc8649"/>
      <w:r>
        <w:rPr>
          <w:rFonts w:hint="eastAsia"/>
          <w:b/>
          <w:sz w:val="24"/>
          <w:szCs w:val="24"/>
        </w:rPr>
        <w:t>5.2、功能说明</w:t>
      </w:r>
      <w:bookmarkEnd w:id="11"/>
    </w:p>
    <w:p>
      <w:pPr>
        <w:spacing w:line="360" w:lineRule="auto"/>
        <w:ind w:firstLine="525" w:firstLineChars="250"/>
      </w:pPr>
      <w:r>
        <w:rPr>
          <w:rFonts w:hint="eastAsia"/>
        </w:rPr>
        <w:t>5.2.1 计量功能</w:t>
      </w:r>
    </w:p>
    <w:p>
      <w:pPr>
        <w:spacing w:line="276" w:lineRule="auto"/>
        <w:ind w:left="529" w:hanging="529" w:hangingChars="252"/>
      </w:pPr>
      <w:r>
        <w:rPr>
          <w:rFonts w:hint="eastAsia"/>
        </w:rPr>
        <w:t xml:space="preserve">         具有正向、反向及组合有功电能的计量功能。组合有功电能可由正向、反向有功电能进行选择性组合，设置方法参见《DL/T645-2007多功能电能表通讯协议》相关约定。</w:t>
      </w:r>
    </w:p>
    <w:p>
      <w:pPr>
        <w:spacing w:line="360" w:lineRule="auto"/>
        <w:ind w:firstLine="525" w:firstLineChars="250"/>
      </w:pPr>
      <w:r>
        <w:rPr>
          <w:rFonts w:hint="eastAsia"/>
        </w:rPr>
        <w:t>5.2.2 分时计量计费功能</w:t>
      </w:r>
    </w:p>
    <w:p>
      <w:pPr>
        <w:spacing w:line="276" w:lineRule="auto"/>
        <w:ind w:left="424" w:hanging="424" w:hangingChars="202"/>
      </w:pPr>
      <w:r>
        <w:rPr>
          <w:rFonts w:hint="eastAsia"/>
        </w:rPr>
        <w:t xml:space="preserve">         本电能表支持尖、峰、平、谷四个费率。全年可设置2</w:t>
      </w:r>
      <w:bookmarkStart w:id="14" w:name="_GoBack"/>
      <w:bookmarkEnd w:id="14"/>
      <w:r>
        <w:rPr>
          <w:rFonts w:hint="eastAsia"/>
        </w:rPr>
        <w:t>个年时区；24小时内可以设置14个时段；时段最小间隔为15分钟，时段可以跨越零点设置</w:t>
      </w:r>
      <w:r>
        <w:rPr>
          <w:rFonts w:hint="eastAsia"/>
          <w:lang w:eastAsia="zh-CN"/>
        </w:rPr>
        <w:t>；可设置两套时区表，两套时段表，每套时段表最多设置两个日时段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     具有两套可以任意编程的费率和时段，并可在设定的时间点启用另一套费率和时段。</w:t>
      </w:r>
    </w:p>
    <w:p>
      <w:pPr>
        <w:spacing w:line="276" w:lineRule="auto"/>
        <w:ind w:left="735" w:hanging="735" w:hangingChars="350"/>
        <w:jc w:val="left"/>
      </w:pPr>
      <w:r>
        <w:rPr>
          <w:rFonts w:hint="eastAsia"/>
        </w:rPr>
        <w:t xml:space="preserve">       在分时计量模式下，电能表将根据当前设定的年时区表、日时段表来判断当前时间所处的费率。最小计量单位为0.01KWH。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5.2.3 结算功能</w:t>
      </w:r>
    </w:p>
    <w:p>
      <w:pPr>
        <w:spacing w:line="276" w:lineRule="auto"/>
        <w:ind w:left="315" w:hanging="315" w:hangingChars="150"/>
      </w:pPr>
      <w:r>
        <w:rPr>
          <w:rFonts w:hint="eastAsia"/>
        </w:rPr>
        <w:t xml:space="preserve">        可设置月报结算点进行结算，最大可记录最近12个月的历史数据（包括各分复费率的正向、反向有功电能）。在液晶显示屏上可查询到当前总累计电量和上月结算点的历史数据。</w:t>
      </w:r>
    </w:p>
    <w:p>
      <w:pPr>
        <w:spacing w:line="160" w:lineRule="exact"/>
        <w:ind w:left="315" w:hanging="315" w:hangingChars="150"/>
      </w:pPr>
    </w:p>
    <w:p>
      <w:pPr>
        <w:spacing w:line="360" w:lineRule="auto"/>
        <w:ind w:firstLine="315" w:firstLineChars="150"/>
      </w:pPr>
      <w:r>
        <w:rPr>
          <w:rFonts w:hint="eastAsia"/>
        </w:rPr>
        <w:t>5.2.4 测量功能</w:t>
      </w:r>
    </w:p>
    <w:p>
      <w:pPr>
        <w:pStyle w:val="25"/>
        <w:numPr>
          <w:ilvl w:val="0"/>
          <w:numId w:val="4"/>
        </w:numPr>
        <w:spacing w:line="360" w:lineRule="auto"/>
        <w:ind w:left="1134" w:hanging="294" w:firstLineChars="0"/>
      </w:pPr>
      <w:r>
        <w:rPr>
          <w:rFonts w:hint="eastAsia"/>
        </w:rPr>
        <w:t>本电能表能测量电压、电流、有功功率、功率因数及频率等电网参数。</w:t>
      </w:r>
    </w:p>
    <w:p>
      <w:pPr>
        <w:pStyle w:val="25"/>
        <w:numPr>
          <w:ilvl w:val="0"/>
          <w:numId w:val="4"/>
        </w:numPr>
        <w:spacing w:line="360" w:lineRule="auto"/>
        <w:ind w:left="1134" w:hanging="294" w:firstLineChars="0"/>
      </w:pPr>
      <w:r>
        <w:rPr>
          <w:rFonts w:hint="eastAsia"/>
        </w:rPr>
        <w:t>有功功率：刷新时间为1秒。测量范围为：5%Pb~Pmax(Pb代表电能表额定有功功率，Pmax代表电能表最大有功功率)单位为W,测量误差（引用误差）不超过±1%,显示1位小数。</w:t>
      </w:r>
    </w:p>
    <w:p>
      <w:pPr>
        <w:pStyle w:val="25"/>
        <w:numPr>
          <w:ilvl w:val="0"/>
          <w:numId w:val="4"/>
        </w:numPr>
        <w:spacing w:line="360" w:lineRule="auto"/>
        <w:ind w:left="1134" w:hanging="294" w:firstLineChars="0"/>
      </w:pPr>
      <w:r>
        <w:rPr>
          <w:rFonts w:hint="eastAsia"/>
        </w:rPr>
        <w:t>电压：有效值，刷新时间为1秒。测量范围为：70%~130%Un,测量误差（引用误差）不超过±1%,显示1位小数,单位为V。</w:t>
      </w:r>
    </w:p>
    <w:p>
      <w:pPr>
        <w:pStyle w:val="25"/>
        <w:numPr>
          <w:ilvl w:val="0"/>
          <w:numId w:val="4"/>
        </w:numPr>
        <w:spacing w:line="360" w:lineRule="auto"/>
        <w:ind w:left="1134" w:hanging="283" w:firstLineChars="0"/>
      </w:pPr>
      <w:r>
        <w:rPr>
          <w:rFonts w:hint="eastAsia"/>
        </w:rPr>
        <w:t>电流：有效值，刷新时间为1秒。测量范围为：5%Ib~Imax,测量误差（引用误差）不超过±1%,显示3位小数,单位为A。</w:t>
      </w:r>
    </w:p>
    <w:p>
      <w:pPr>
        <w:pStyle w:val="25"/>
        <w:numPr>
          <w:ilvl w:val="0"/>
          <w:numId w:val="4"/>
        </w:numPr>
        <w:spacing w:line="360" w:lineRule="auto"/>
        <w:ind w:left="1134" w:hanging="294" w:firstLineChars="0"/>
      </w:pPr>
      <w:r>
        <w:rPr>
          <w:rFonts w:hint="eastAsia"/>
        </w:rPr>
        <w:t>功率因数：刷新时间为1秒。测量范围为：5%Ib~Imax,测量误差（引用误差）不超过±1%,显示3位小数。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5.2.5 通讯功能</w:t>
      </w:r>
    </w:p>
    <w:p>
      <w:pPr>
        <w:spacing w:line="276" w:lineRule="auto"/>
        <w:ind w:left="315" w:hanging="315" w:hangingChars="150"/>
      </w:pPr>
      <w:r>
        <w:rPr>
          <w:rFonts w:hint="eastAsia"/>
        </w:rPr>
        <w:t xml:space="preserve">        电能表具有一个RS485接口和一个远红外接口，两个通讯接口相互独立，用户从通讯接口可获取及设置电能表各种数据。通讯协议均符合DL/T645-2007多功能电能表通讯规约。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5.2.5.1 RS485通讯</w:t>
      </w:r>
    </w:p>
    <w:p>
      <w:pPr>
        <w:spacing w:line="276" w:lineRule="auto"/>
        <w:ind w:left="315" w:hanging="315" w:hangingChars="150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238125</wp:posOffset>
            </wp:positionV>
            <wp:extent cx="209550" cy="27368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7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波特率可设（9600,4800,2400,1200），出厂默认设置为2400bps，当通讯口成功接收到一帧数据，LCD将显示通讯标志：    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5.2.5.2远红外通讯</w:t>
      </w:r>
    </w:p>
    <w:p>
      <w:pPr>
        <w:spacing w:line="276" w:lineRule="auto"/>
        <w:ind w:left="315" w:hanging="315" w:hangingChars="150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212725</wp:posOffset>
            </wp:positionV>
            <wp:extent cx="209550" cy="27305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波特率固定为1200bps，远红外通讯的有效距离为5米。当电能表电压都低于70%Un时关闭远红外通讯。当通讯口成功接收到一帧数据，LCD将显示通讯标志：    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5.2.6事件记录功能</w:t>
      </w:r>
    </w:p>
    <w:p>
      <w:pPr>
        <w:spacing w:line="276" w:lineRule="auto"/>
        <w:ind w:left="315" w:leftChars="150" w:firstLine="525" w:firstLineChars="250"/>
      </w:pPr>
      <w:r>
        <w:rPr>
          <w:rFonts w:hint="eastAsia"/>
        </w:rPr>
        <w:t>电能表具有丰富的事件记录功能，并且每个事件保存10次，以备电力管理部门查询，能记录编程、掉电、校时、跳闸等事件发生的时刻以及事件发生时电能表状态，防止用户非法篡改电能表数据。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5.2.7冻结功能</w:t>
      </w:r>
    </w:p>
    <w:p>
      <w:pPr>
        <w:spacing w:line="276" w:lineRule="auto"/>
        <w:ind w:left="315" w:leftChars="150" w:firstLine="525" w:firstLineChars="250"/>
      </w:pPr>
      <w:r>
        <w:rPr>
          <w:rFonts w:hint="eastAsia"/>
        </w:rPr>
        <w:t>电能表具有多种电量冻结功能，方便用户进行用电信息的查询。包括定时冻结、日冻结、整点冻结、瞬时冻结功能。保存最近12次的定时冻结记录，62次日冻结数据和最近254次整点冻结数据，整点冻结时间间隔可设置为30或60分钟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5.2.8拉合闸功能</w:t>
      </w:r>
    </w:p>
    <w:p>
      <w:pPr>
        <w:spacing w:line="276" w:lineRule="auto"/>
        <w:ind w:left="315" w:leftChars="150" w:firstLine="630" w:firstLineChars="300"/>
      </w:pPr>
      <w:r>
        <w:rPr>
          <w:rFonts w:hint="eastAsia"/>
        </w:rPr>
        <w:t>电能表具有远程通断电功能，电能表接收到通讯指令后，能切断或恢复用户的用电负荷。</w:t>
      </w:r>
    </w:p>
    <w:p>
      <w:pPr>
        <w:spacing w:line="360" w:lineRule="auto"/>
        <w:ind w:firstLine="315" w:firstLineChars="150"/>
      </w:pPr>
      <w:r>
        <w:rPr>
          <w:rFonts w:hint="eastAsia"/>
        </w:rPr>
        <w:t>5.2.9 保电功能</w:t>
      </w:r>
    </w:p>
    <w:p>
      <w:pPr>
        <w:ind w:left="315" w:hanging="315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</w:t>
      </w:r>
      <w:r>
        <w:t xml:space="preserve">电能表具有保电功能，保电功能优先级最高。当电能表处于保电状态下，远程拉闸无效。当电能表处于拉闸状态时，若收到正确的保电指令，则立即合闸。 </w:t>
      </w:r>
    </w:p>
    <w:p>
      <w:pPr>
        <w:spacing w:line="160" w:lineRule="exact"/>
      </w:pPr>
    </w:p>
    <w:p>
      <w:pPr>
        <w:spacing w:line="276" w:lineRule="auto"/>
        <w:ind w:firstLine="120" w:firstLineChars="50"/>
        <w:rPr>
          <w:rFonts w:hint="eastAsia"/>
          <w:b/>
          <w:sz w:val="24"/>
          <w:szCs w:val="24"/>
        </w:rPr>
      </w:pPr>
      <w:bookmarkStart w:id="12" w:name="_Toc17283"/>
    </w:p>
    <w:p>
      <w:pPr>
        <w:spacing w:line="276" w:lineRule="auto"/>
        <w:ind w:firstLine="120" w:firstLineChar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5.3 显示</w:t>
      </w:r>
      <w:bookmarkEnd w:id="12"/>
      <w:r>
        <w:rPr>
          <w:rFonts w:hint="eastAsia"/>
          <w:b/>
          <w:sz w:val="24"/>
          <w:szCs w:val="24"/>
        </w:rPr>
        <w:t>说明</w:t>
      </w:r>
    </w:p>
    <w:p>
      <w:pPr>
        <w:spacing w:line="276" w:lineRule="auto"/>
        <w:ind w:firstLine="120" w:firstLineChars="50"/>
        <w:rPr>
          <w:rFonts w:hint="eastAsia"/>
          <w:b/>
          <w:sz w:val="24"/>
          <w:szCs w:val="24"/>
        </w:rPr>
      </w:pPr>
    </w:p>
    <w:p>
      <w:pPr>
        <w:ind w:firstLine="315" w:firstLineChars="150"/>
      </w:pPr>
      <w:r>
        <w:rPr>
          <w:rFonts w:hint="eastAsia"/>
        </w:rPr>
        <w:t>5.3.1 液晶显示说明</w:t>
      </w:r>
    </w:p>
    <w:tbl>
      <w:tblPr>
        <w:tblStyle w:val="18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6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686" w:type="dxa"/>
          </w:tcPr>
          <w:p>
            <w:pPr>
              <w:jc w:val="center"/>
            </w:pPr>
            <w:r>
              <w:rPr>
                <w:rFonts w:hint="eastAsia"/>
              </w:rPr>
              <w:t>液晶上显示内容</w:t>
            </w:r>
          </w:p>
        </w:tc>
        <w:tc>
          <w:tcPr>
            <w:tcW w:w="3543" w:type="dxa"/>
          </w:tcPr>
          <w:p>
            <w:pPr>
              <w:jc w:val="center"/>
            </w:pPr>
            <w:r>
              <w:rPr>
                <w:rFonts w:hint="eastAsia"/>
              </w:rPr>
              <w:t>含义说明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全屏</w:t>
            </w:r>
          </w:p>
        </w:tc>
        <w:tc>
          <w:tcPr>
            <w:tcW w:w="3686" w:type="dxa"/>
          </w:tcPr>
          <w:p>
            <w:r>
              <w:drawing>
                <wp:inline distT="0" distB="0" distL="0" distR="0">
                  <wp:extent cx="2143125" cy="913130"/>
                  <wp:effectExtent l="0" t="0" r="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992" cy="916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/>
          <w:p/>
          <w:p>
            <w:r>
              <w:rPr>
                <w:rFonts w:hint="eastAsia"/>
              </w:rPr>
              <w:t>液晶全屏显示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1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历史月电能</w:t>
            </w:r>
          </w:p>
        </w:tc>
        <w:tc>
          <w:tcPr>
            <w:tcW w:w="3686" w:type="dxa"/>
          </w:tcPr>
          <w:p>
            <w:r>
              <w:drawing>
                <wp:inline distT="0" distB="0" distL="0" distR="0">
                  <wp:extent cx="714375" cy="399415"/>
                  <wp:effectExtent l="0" t="0" r="0" b="63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4" r="57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9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>
            <w:pPr>
              <w:spacing w:line="600" w:lineRule="auto"/>
            </w:pPr>
            <w:r>
              <w:rPr>
                <w:rFonts w:hint="eastAsia"/>
              </w:rPr>
              <w:t>上一个月数据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分时功能代码</w:t>
            </w:r>
          </w:p>
        </w:tc>
        <w:tc>
          <w:tcPr>
            <w:tcW w:w="3686" w:type="dxa"/>
          </w:tcPr>
          <w:p>
            <w:r>
              <w:drawing>
                <wp:inline distT="0" distB="0" distL="0" distR="0">
                  <wp:extent cx="628650" cy="285115"/>
                  <wp:effectExtent l="0" t="0" r="0" b="63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51" b="7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64" cy="285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</w:p>
          <w:p>
            <w:r>
              <w:drawing>
                <wp:inline distT="0" distB="0" distL="0" distR="0">
                  <wp:extent cx="627380" cy="290195"/>
                  <wp:effectExtent l="0" t="0" r="127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493" b="36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13" cy="295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628650" cy="29083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91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>
            <w:r>
              <w:rPr>
                <w:rFonts w:hint="eastAsia"/>
              </w:rPr>
              <w:t>“1”表示时区1，“2”表示时区2；“尖、峰、平、谷”为当前的分时费率。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指标标示符号</w:t>
            </w:r>
          </w:p>
        </w:tc>
        <w:tc>
          <w:tcPr>
            <w:tcW w:w="3686" w:type="dxa"/>
          </w:tcPr>
          <w:p/>
          <w:p/>
          <w:p/>
          <w:p/>
          <w:p/>
          <w:p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390525" cy="276225"/>
                  <wp:effectExtent l="0" t="0" r="952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" b="76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82" cy="27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411480" cy="167005"/>
                  <wp:effectExtent l="0" t="0" r="7620" b="444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045" b="15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60" cy="16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390525" cy="282575"/>
                  <wp:effectExtent l="0" t="0" r="0" b="317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91" b="26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49" cy="28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219075" cy="28575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8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>
            <w:r>
              <w:drawing>
                <wp:inline distT="0" distB="0" distL="0" distR="0">
                  <wp:extent cx="390525" cy="276225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" b="76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82" cy="27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图标出现时，表示电池欠压；</w:t>
            </w:r>
          </w:p>
          <w:p>
            <w:pPr>
              <w:ind w:left="630" w:hanging="630" w:hangingChars="300"/>
            </w:pPr>
            <w:r>
              <w:drawing>
                <wp:inline distT="0" distB="0" distL="0" distR="0">
                  <wp:extent cx="411480" cy="167005"/>
                  <wp:effectExtent l="0" t="0" r="7620" b="444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045" b="15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60" cy="16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图标出现时，表示已进入厂内状态；（不对用户开放）</w:t>
            </w:r>
          </w:p>
          <w:p>
            <w:pPr>
              <w:ind w:left="630" w:hanging="630" w:hangingChars="300"/>
            </w:pPr>
            <w:r>
              <w:drawing>
                <wp:inline distT="0" distB="0" distL="0" distR="0">
                  <wp:extent cx="390525" cy="282575"/>
                  <wp:effectExtent l="0" t="0" r="0" b="317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91" b="26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49" cy="28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图标表示编程密码连续错误次数大于设定值，密码补锁，24小时后会自动解锁；</w:t>
            </w:r>
          </w:p>
          <w:p>
            <w:pPr>
              <w:ind w:left="525" w:hanging="525" w:hangingChars="250"/>
            </w:pPr>
            <w:r>
              <w:drawing>
                <wp:inline distT="0" distB="0" distL="0" distR="0">
                  <wp:extent cx="219075" cy="28575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8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表示处于RS485或红外通信状态；</w:t>
            </w:r>
          </w:p>
        </w:tc>
      </w:tr>
    </w:tbl>
    <w:p/>
    <w:p>
      <w:r>
        <w:rPr>
          <w:rFonts w:hint="eastAsia"/>
        </w:rPr>
        <w:t>5.3.2 液晶显示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模式</w:t>
      </w:r>
    </w:p>
    <w:p>
      <w:r>
        <w:rPr>
          <w:rFonts w:hint="eastAsia"/>
        </w:rPr>
        <w:t xml:space="preserve">   液晶显示分为3种，分别为自动循环显示、按键查询显示和停电自供电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轮显</w:t>
      </w:r>
      <w:r>
        <w:rPr>
          <w:rFonts w:hint="eastAsia"/>
        </w:rPr>
        <w:t>。</w:t>
      </w:r>
    </w:p>
    <w:p/>
    <w:p>
      <w:r>
        <w:rPr>
          <w:rFonts w:hint="eastAsia"/>
        </w:rPr>
        <w:t>5.3.3 循环显示</w:t>
      </w:r>
    </w:p>
    <w:p>
      <w:pPr>
        <w:ind w:firstLine="420"/>
      </w:pPr>
      <w:r>
        <w:rPr>
          <w:rFonts w:hint="eastAsia"/>
        </w:rPr>
        <w:t>表计在运行一定时间后，自动切换到下一屏的显示，默认显示如下表所示：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</w:rPr>
        <w:t>电能表循环和自供电显示项目列表</w:t>
      </w:r>
    </w:p>
    <w:p>
      <w:pPr>
        <w:pStyle w:val="25"/>
        <w:spacing w:line="160" w:lineRule="exact"/>
        <w:ind w:left="420" w:firstLine="0" w:firstLineChars="0"/>
      </w:pPr>
    </w:p>
    <w:tbl>
      <w:tblPr>
        <w:tblStyle w:val="1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46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显示项目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数据显示格式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故障代码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Err-XX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有故障才显示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当前正向有功总电量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当前正向有功尖电量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当前正向有功峰电量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当前正向有功平电量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62" w:type="dxa"/>
          </w:tcPr>
          <w:p>
            <w:pPr>
              <w:jc w:val="center"/>
            </w:pPr>
            <w:r>
              <w:rPr>
                <w:rFonts w:hint="eastAsia"/>
              </w:rPr>
              <w:t>当前正向有功谷电量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</w:tbl>
    <w:p>
      <w:pPr>
        <w:pStyle w:val="25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</w:rPr>
        <w:t>电能表按键显示项目列表</w:t>
      </w:r>
    </w:p>
    <w:p>
      <w:pPr>
        <w:pStyle w:val="25"/>
        <w:spacing w:line="160" w:lineRule="exact"/>
        <w:ind w:left="420" w:firstLine="0" w:firstLineChars="0"/>
      </w:pPr>
    </w:p>
    <w:tbl>
      <w:tblPr>
        <w:tblStyle w:val="1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显示项目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数据显示格式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故障代码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Err-XX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有故障才显示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当前正向有功总电量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当前正向有功尖电量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当前正向有功峰电量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当前正向有功平电量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当前正向有功谷电量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上1月正向有功总电量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上1月正向有功尖电量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上1月正向有功峰电量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上1月正向有功平电量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上1月正向有功谷电量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电压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XXX.X V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电流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XXX.XXX A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功率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XXX.X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频率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功率因数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X.XXX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当前日期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XX.XX.XX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当前时间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XX:XX:XX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通讯地址低8位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XXXXXXXX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74" w:type="dxa"/>
          </w:tcPr>
          <w:p>
            <w:pPr>
              <w:jc w:val="center"/>
            </w:pPr>
            <w:r>
              <w:rPr>
                <w:rFonts w:hint="eastAsia"/>
              </w:rPr>
              <w:t>通讯地址高4位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XXXX</w:t>
            </w:r>
          </w:p>
        </w:tc>
        <w:tc>
          <w:tcPr>
            <w:tcW w:w="2131" w:type="dxa"/>
          </w:tcPr>
          <w:p>
            <w:pPr>
              <w:jc w:val="center"/>
            </w:pPr>
          </w:p>
        </w:tc>
      </w:tr>
    </w:tbl>
    <w:p>
      <w:pPr>
        <w:spacing w:line="160" w:lineRule="exact"/>
        <w:ind w:firstLine="315" w:firstLineChars="150"/>
      </w:pPr>
    </w:p>
    <w:p>
      <w:pPr>
        <w:ind w:firstLine="315" w:firstLineChars="150"/>
      </w:pPr>
      <w:r>
        <w:rPr>
          <w:rFonts w:hint="eastAsia"/>
        </w:rPr>
        <w:t>注：当液晶上显示汉字“当前总（或尖、峰、平、谷）用电量”时，表示是累计的总电量；当液晶上显示汉字“上1月总（或尖、峰、平、谷）用电量”时，表示是上月度累计的总电量。用户如不用分时计量功能，只需看当前总电量即可，尖、峰、平、谷电量无意义。</w:t>
      </w:r>
    </w:p>
    <w:p>
      <w:pPr>
        <w:ind w:firstLine="315" w:firstLineChars="150"/>
      </w:pPr>
      <w:r>
        <w:rPr>
          <w:rFonts w:hint="eastAsia"/>
        </w:rPr>
        <w:t>5.3.4 停电显示功能</w:t>
      </w:r>
    </w:p>
    <w:p>
      <w:pPr>
        <w:ind w:left="315" w:leftChars="150" w:firstLine="525" w:firstLineChars="250"/>
      </w:pPr>
      <w:r>
        <w:rPr>
          <w:rFonts w:hint="eastAsia"/>
        </w:rPr>
        <w:t>停电时可通过按键唤醒显示（背光灯不点亮）；唤醒后如无操作，液晶屏在自动显示一个循环后自动关闭；按键显示操作结束30秒后自动关闭显示。上电</w:t>
      </w:r>
      <w:r>
        <w:rPr>
          <w:rFonts w:hint="eastAsia"/>
          <w:lang w:eastAsia="zh-CN"/>
        </w:rPr>
        <w:t>点亮</w:t>
      </w:r>
      <w:r>
        <w:rPr>
          <w:rFonts w:hint="eastAsia"/>
        </w:rPr>
        <w:t>背光，</w:t>
      </w:r>
      <w:r>
        <w:rPr>
          <w:rFonts w:hint="eastAsia"/>
          <w:lang w:eastAsia="zh-CN"/>
        </w:rPr>
        <w:t>如无任何操作延时</w:t>
      </w:r>
      <w:r>
        <w:rPr>
          <w:rFonts w:hint="eastAsia"/>
          <w:lang w:val="en-US" w:eastAsia="zh-CN"/>
        </w:rPr>
        <w:t>30秒后背光自动熄灭</w:t>
      </w:r>
      <w:r>
        <w:rPr>
          <w:rFonts w:hint="eastAsia"/>
        </w:rPr>
        <w:t>。</w:t>
      </w:r>
    </w:p>
    <w:p>
      <w:pPr>
        <w:ind w:firstLine="315" w:firstLineChars="150"/>
      </w:pPr>
      <w:r>
        <w:rPr>
          <w:rFonts w:hint="eastAsia"/>
        </w:rPr>
        <w:t>5.3.5 液晶背光功能</w:t>
      </w:r>
    </w:p>
    <w:p>
      <w:pPr>
        <w:spacing w:line="276" w:lineRule="auto"/>
        <w:ind w:left="315" w:hanging="315" w:hangingChars="150"/>
      </w:pPr>
      <w:r>
        <w:rPr>
          <w:rFonts w:hint="eastAsia"/>
        </w:rPr>
        <w:t xml:space="preserve">        液晶背光在下面几种情况下点亮：</w:t>
      </w:r>
    </w:p>
    <w:p>
      <w:pPr>
        <w:spacing w:line="276" w:lineRule="auto"/>
        <w:ind w:left="315" w:leftChars="150" w:firstLine="210" w:firstLineChars="100"/>
      </w:pPr>
      <w:r>
        <w:rPr>
          <w:rFonts w:hint="eastAsia"/>
        </w:rPr>
        <w:t>1、按下显示查询按键时；</w:t>
      </w:r>
    </w:p>
    <w:p>
      <w:pPr>
        <w:spacing w:line="276" w:lineRule="auto"/>
        <w:ind w:left="315" w:leftChars="150" w:firstLine="210" w:firstLineChars="100"/>
      </w:pPr>
      <w:r>
        <w:rPr>
          <w:rFonts w:hint="eastAsia"/>
        </w:rPr>
        <w:t>2、红外通讯时；</w:t>
      </w:r>
    </w:p>
    <w:p>
      <w:pPr>
        <w:spacing w:line="276" w:lineRule="auto"/>
        <w:ind w:left="315" w:leftChars="150" w:firstLine="210" w:firstLineChars="100"/>
      </w:pPr>
      <w:r>
        <w:rPr>
          <w:rFonts w:hint="eastAsia"/>
        </w:rPr>
        <w:t>3、出现故障时</w:t>
      </w:r>
      <w:r>
        <w:rPr>
          <w:rFonts w:hint="eastAsia"/>
          <w:color w:val="FF0000"/>
        </w:rPr>
        <w:t>。</w:t>
      </w:r>
    </w:p>
    <w:p>
      <w:pPr>
        <w:ind w:firstLine="315" w:firstLineChars="150"/>
      </w:pPr>
      <w:r>
        <w:rPr>
          <w:rFonts w:hint="eastAsia"/>
        </w:rPr>
        <w:t>5.3.6 系统错误显示</w:t>
      </w:r>
    </w:p>
    <w:p>
      <w:pPr>
        <w:ind w:left="315" w:hanging="315" w:hangingChars="150"/>
      </w:pPr>
      <w:r>
        <w:rPr>
          <w:rFonts w:hint="eastAsia"/>
        </w:rPr>
        <w:t xml:space="preserve">        电能表在运行过程中，若检测到电能表故障，自动循环显示将停止，液晶显示屏持续显示出错代码“Err-XX”。</w:t>
      </w:r>
    </w:p>
    <w:tbl>
      <w:tblPr>
        <w:tblStyle w:val="1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显示内容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Err-01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控制回路错误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Err-04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时钟电池电压低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Err-0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存储器故障或损坏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Err-08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时钟错误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>5.3.7 显示画面含义</w:t>
      </w:r>
    </w:p>
    <w:p>
      <w:pPr>
        <w:spacing w:line="160" w:lineRule="exact"/>
      </w:pPr>
    </w:p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8465" cy="720090"/>
                  <wp:effectExtent l="0" t="0" r="6985" b="381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当前有功总电量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显示内容表示当前正向有功总电量为27.09kWh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7195" cy="720090"/>
                  <wp:effectExtent l="0" t="0" r="8255" b="381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当前尖时段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显示内容表示当前尖有功总电量为26.35kWh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当前峰时段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显示内容表示当前峰有功总电量为0.27kWh</w:t>
            </w:r>
          </w:p>
        </w:tc>
      </w:tr>
    </w:tbl>
    <w:p/>
    <w:tbl>
      <w:tblPr>
        <w:tblStyle w:val="17"/>
        <w:tblpPr w:leftFromText="180" w:rightFromText="180" w:vertAnchor="text" w:horzAnchor="page" w:tblpX="1737" w:tblpY="17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当前平时段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显示内容表示当前平有功总电量为0.03kwh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当前谷时段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显示内容表示当前谷有功总电量为0.44kwh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上1月有功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显示内容表示上1月有功总电量为27.09kWh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上1月尖时段总电量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显示内容表示上1月尖有功总电量为26.35kwh</w:t>
            </w:r>
          </w:p>
        </w:tc>
      </w:tr>
    </w:tbl>
    <w:p/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上1月峰时段总电量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显示内容表示上1月峰有功总电量为0.27kwh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上1月平时段总电量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显示内容表示上1月平有功总电量为0.03kwh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上1月谷时段总电量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xxxxx.xx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显示内容表示上1月谷有功总电量为0.44kWh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电压值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t>xxx.x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三位整数，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一位小数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显示内容表示当前电压有效值为226.2V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电流值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xx.xx</w:t>
            </w:r>
            <w:r>
              <w:rPr>
                <w:rFonts w:hint="eastAsia"/>
              </w:rPr>
              <w:t>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三位整数，</w:t>
            </w:r>
          </w:p>
          <w:p>
            <w:pPr>
              <w:jc w:val="center"/>
            </w:pPr>
            <w:r>
              <w:rPr>
                <w:rFonts w:hint="eastAsia"/>
              </w:rPr>
              <w:t>三位小数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显示内容表示当前电流有效值为0.000A</w:t>
            </w:r>
          </w:p>
        </w:tc>
      </w:tr>
    </w:tbl>
    <w:p/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当前有功</w:t>
            </w:r>
          </w:p>
          <w:p>
            <w:pPr>
              <w:jc w:val="center"/>
            </w:pPr>
            <w:r>
              <w:rPr>
                <w:rFonts w:hint="eastAsia"/>
              </w:rPr>
              <w:t>功率值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t>xxx</w:t>
            </w:r>
            <w:r>
              <w:rPr>
                <w:rFonts w:hint="eastAsia"/>
                <w:lang w:val="en-US" w:eastAsia="zh-CN"/>
              </w:rPr>
              <w:t>.</w:t>
            </w:r>
            <w:r>
              <w:t>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</w:t>
            </w:r>
            <w:r>
              <w:rPr>
                <w:rFonts w:hint="eastAsia"/>
                <w:color w:val="auto"/>
              </w:rPr>
              <w:t>位整数，</w:t>
            </w:r>
          </w:p>
          <w:p>
            <w:pPr>
              <w:jc w:val="center"/>
            </w:pPr>
            <w:r>
              <w:rPr>
                <w:rFonts w:hint="eastAsia"/>
                <w:color w:val="auto"/>
                <w:lang w:eastAsia="zh-CN"/>
              </w:rPr>
              <w:t>一</w:t>
            </w:r>
            <w:r>
              <w:rPr>
                <w:rFonts w:hint="eastAsia"/>
                <w:color w:val="auto"/>
              </w:rPr>
              <w:t>位小数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显示内容表示当前有功功率为0.0W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当前电网频率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xx.xx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两位整数，</w:t>
            </w:r>
          </w:p>
          <w:p>
            <w:pPr>
              <w:jc w:val="center"/>
            </w:pPr>
            <w:r>
              <w:rPr>
                <w:rFonts w:hint="eastAsia"/>
              </w:rPr>
              <w:t>两位小数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显示内容表示当前电网频率为50.00Hz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当前功率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因数值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t>x.xx</w:t>
            </w:r>
            <w:r>
              <w:rPr>
                <w:rFonts w:hint="eastAsia"/>
              </w:rPr>
              <w:t>x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一位整数，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两位小数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显示内容表示当前功率因数为0.000 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当前日期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yy.</w:t>
            </w:r>
            <w:r>
              <w:t>mm</w:t>
            </w:r>
            <w:r>
              <w:rPr>
                <w:rFonts w:hint="eastAsia"/>
              </w:rPr>
              <w:t>.dd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年.月.日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显示内容表示当前时间为17年10月08日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当前时间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t>hh:mm:ss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时：分：秒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显示内容表示当前时间为17时10分00秒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00000000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低8位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显示内容表示通讯地址（低8位）</w:t>
            </w:r>
          </w:p>
        </w:tc>
      </w:tr>
    </w:tbl>
    <w:p/>
    <w:tbl>
      <w:tblPr>
        <w:tblStyle w:val="1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559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8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86560" cy="720090"/>
                  <wp:effectExtent l="0" t="0" r="8890" b="381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高4位</w:t>
            </w:r>
          </w:p>
        </w:tc>
        <w:tc>
          <w:tcPr>
            <w:tcW w:w="38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显示内容表示通讯地址（高4位）</w:t>
            </w:r>
          </w:p>
        </w:tc>
      </w:tr>
    </w:tbl>
    <w:p>
      <w:pPr>
        <w:spacing w:line="160" w:lineRule="exact"/>
      </w:pPr>
    </w:p>
    <w:p>
      <w:pPr>
        <w:pStyle w:val="25"/>
        <w:ind w:left="420" w:firstLine="0" w:firstLineChars="0"/>
      </w:pPr>
      <w:r>
        <w:rPr>
          <w:rFonts w:hint="eastAsia"/>
        </w:rPr>
        <w:t>注：显示页面左下角的“平”表示平时段电量，若显示峰、谷、尖则对应峰、谷、尖电量。</w:t>
      </w:r>
    </w:p>
    <w:p/>
    <w:p>
      <w:pPr>
        <w:spacing w:line="276" w:lineRule="auto"/>
        <w:rPr>
          <w:b/>
          <w:sz w:val="28"/>
          <w:szCs w:val="28"/>
        </w:rPr>
      </w:pPr>
      <w:bookmarkStart w:id="13" w:name="_Toc20753"/>
      <w:r>
        <w:rPr>
          <w:rFonts w:hint="eastAsia"/>
          <w:b/>
          <w:sz w:val="28"/>
          <w:szCs w:val="28"/>
        </w:rPr>
        <w:t>六、脉冲</w:t>
      </w:r>
      <w:bookmarkEnd w:id="13"/>
      <w:r>
        <w:rPr>
          <w:rFonts w:hint="eastAsia"/>
          <w:b/>
          <w:sz w:val="28"/>
          <w:szCs w:val="28"/>
        </w:rPr>
        <w:t>输出</w:t>
      </w:r>
    </w:p>
    <w:p>
      <w:pPr>
        <w:spacing w:line="276" w:lineRule="auto"/>
        <w:ind w:left="210" w:leftChars="100" w:firstLine="420" w:firstLineChars="200"/>
      </w:pPr>
      <w:r>
        <w:rPr>
          <w:rFonts w:hint="eastAsia"/>
        </w:rPr>
        <w:t>电能表提供一路有功电能脉冲输出功能，实现有功电能远传，可采用远程的计算机终端、PLC、DI开关采集模块采集电能表的脉冲总数来实现电能累积计量。所采用输出方式是电能的精度检验的方式（国家计量规程：标准表的脉冲误差比较方法）。</w:t>
      </w:r>
    </w:p>
    <w:p>
      <w:pPr>
        <w:spacing w:line="360" w:lineRule="auto"/>
        <w:ind w:firstLine="630" w:firstLineChars="300"/>
      </w:pPr>
      <w:r>
        <w:rPr>
          <w:rFonts w:hint="eastAsia"/>
        </w:rPr>
        <w:t>电能表提供一路秒脉冲输出功能，秒脉冲可用来检测电能表内时钟的准确度，其输出频率为1Hz。</w:t>
      </w:r>
    </w:p>
    <w:p>
      <w:pPr>
        <w:jc w:val="center"/>
      </w:pPr>
      <w:r>
        <w:drawing>
          <wp:inline distT="0" distB="0" distL="0" distR="0">
            <wp:extent cx="5151755" cy="17951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655" cy="17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电气特性：脉冲采集接口的电路示意图中VCC≤24、IZ≤50mA。</w:t>
      </w:r>
    </w:p>
    <w:p>
      <w:pPr>
        <w:pStyle w:val="25"/>
        <w:spacing w:line="160" w:lineRule="exact"/>
        <w:ind w:left="1140" w:firstLine="0" w:firstLineChars="0"/>
      </w:pPr>
    </w:p>
    <w:p>
      <w:pPr>
        <w:pStyle w:val="26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脉冲常数：如1600imp/kWh，其意义为：当电能表累1kWh时脉冲输出个数为1600个。</w:t>
      </w:r>
    </w:p>
    <w:p>
      <w:pPr>
        <w:spacing w:line="160" w:lineRule="exact"/>
        <w:ind w:left="105" w:leftChars="50" w:firstLine="315" w:firstLineChars="150"/>
      </w:pPr>
    </w:p>
    <w:p>
      <w:pPr>
        <w:pStyle w:val="26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应用举例：PLC终端使用脉冲计数装置，假定在长度为t的一段时间内采集脉冲个数为N个，电能表脉冲常数为 1600，则该时间段内仪表电能累积为N/1600（kWh）电能。</w:t>
      </w:r>
    </w:p>
    <w:p>
      <w:pPr>
        <w:spacing w:line="160" w:lineRule="exact"/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七、通讯协议数据标识</w:t>
      </w:r>
      <w:r>
        <w:rPr>
          <w:rFonts w:hint="eastAsia"/>
          <w:bCs/>
          <w:szCs w:val="21"/>
        </w:rPr>
        <w:t>（表格摘自DL/T 645-2007标准）</w:t>
      </w:r>
    </w:p>
    <w:p>
      <w:pPr>
        <w:spacing w:line="360" w:lineRule="auto"/>
        <w:ind w:firstLine="422" w:firstLineChars="200"/>
        <w:jc w:val="center"/>
      </w:pP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A</w:t>
      </w:r>
      <w:r>
        <w:rPr>
          <w:rFonts w:hint="eastAsia"/>
          <w:b/>
        </w:rPr>
        <w:t>1 电能量数据标识编码表</w:t>
      </w:r>
    </w:p>
    <w:tbl>
      <w:tblPr>
        <w:tblStyle w:val="18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96"/>
        <w:gridCol w:w="595"/>
        <w:gridCol w:w="595"/>
        <w:gridCol w:w="1481"/>
        <w:gridCol w:w="706"/>
        <w:gridCol w:w="741"/>
        <w:gridCol w:w="539"/>
        <w:gridCol w:w="539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数据标识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数据格式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长度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pacing w:val="-30"/>
                <w:sz w:val="18"/>
              </w:rPr>
              <w:t>（字节）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功能</w:t>
            </w:r>
          </w:p>
        </w:tc>
        <w:tc>
          <w:tcPr>
            <w:tcW w:w="3552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读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写</w:t>
            </w:r>
          </w:p>
        </w:tc>
        <w:tc>
          <w:tcPr>
            <w:tcW w:w="35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(当前)组合有功总电能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(当前)组合有功费率1电能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(当前)组合有功费率4电能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(当前)组合有功电能数据块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(当前)正向有功总电能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(当前)正向有功费率1电能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(当前)正向有功费率4电能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(当前)正向有功电能数据块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(当前)反向有功总电能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(当前)反向有功费率1电能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(当前)反向有功费率4电能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(当前)反向有功电能数据块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(上1结算日)组合有功总电能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(上1结算日)组合有功费率1电能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(上1结算日)组合有功费率4电能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(上1结算日)组合有功电能数据块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(上1结算日)正向有功总电能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(上1结算日)正向有功费率1电能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(上1结算日)正向有功费率4电能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(上1结算日)正向有功电能数据块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(上1结算日)反向有功总电能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(上1结算日)反向有功费率1电能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(上1结算日)反向有功费率4电能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(上1结算日)反向有功电能数据块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741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539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539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3552" w:type="dxa"/>
          </w:tcPr>
          <w:p>
            <w:pPr>
              <w:ind w:firstLine="2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0C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(上12结算日)组合有功总电能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(上12结算日)组合有功费率1电能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(上12结算日)组合有功费率4电能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(上12结算日)组合有功电能数据块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0C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(上12结算日)正向有功总电能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(上12结算日)正向有功费率1电能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(上12结算日)正向有功费率4电能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(上12结算日)正向有功电能数据块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0C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kWh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(上12结算日)反向有功总电能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(上12结算日)反向有功费率1电能</w:t>
            </w:r>
          </w:p>
          <w:p>
            <w:pPr>
              <w:ind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(上12结算日)反向有功费率4电能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(上12结算日)反向有功电能数据块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96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59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ZZ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ZZ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XXXXXX.XX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4×13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52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某项当前和12个结算日电能数据块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940" w:type="dxa"/>
            <w:gridSpan w:val="10"/>
          </w:tcPr>
          <w:p>
            <w:pPr>
              <w:pStyle w:val="21"/>
            </w:pPr>
            <w:r>
              <w:rPr>
                <w:rFonts w:hint="eastAsia"/>
              </w:rPr>
              <w:t>1:</w:t>
            </w:r>
            <w:r>
              <w:rPr>
                <w:rFonts w:hint="eastAsia" w:hAnsi="宋体"/>
                <w:szCs w:val="18"/>
              </w:rPr>
              <w:t xml:space="preserve"> 组合有功电能最高位是符号位，0正、1负。取值范围：0.00～799999.99。</w:t>
            </w:r>
          </w:p>
          <w:p>
            <w:pPr>
              <w:pStyle w:val="21"/>
            </w:pPr>
            <w:r>
              <w:rPr>
                <w:rFonts w:hint="eastAsia"/>
              </w:rPr>
              <w:t>2:</w:t>
            </w:r>
            <w:r>
              <w:rPr>
                <w:rFonts w:hint="eastAsia" w:hAnsi="宋体"/>
                <w:szCs w:val="18"/>
              </w:rPr>
              <w:t xml:space="preserve"> ZZ代表本字节所列数值的任意一个取值，ZZ不能取值为FF。</w:t>
            </w:r>
          </w:p>
          <w:p>
            <w:pPr>
              <w:pStyle w:val="21"/>
            </w:pPr>
            <w:r>
              <w:rPr>
                <w:rFonts w:hint="eastAsia" w:hAnsi="宋体"/>
                <w:szCs w:val="18"/>
              </w:rPr>
              <w:t>3:</w:t>
            </w:r>
            <w:r>
              <w:rPr>
                <w:rStyle w:val="16"/>
                <w:rFonts w:hint="eastAsia" w:ascii="宋体" w:hAnsi="宋体"/>
                <w:sz w:val="18"/>
                <w:szCs w:val="18"/>
              </w:rPr>
              <w:t xml:space="preserve"> 在传输某</w:t>
            </w:r>
            <w:r>
              <w:rPr>
                <w:rStyle w:val="16"/>
                <w:rFonts w:hint="eastAsia" w:ascii="宋体" w:hAnsi="宋体" w:cs="宋体"/>
                <w:sz w:val="18"/>
                <w:szCs w:val="18"/>
              </w:rPr>
              <w:t>结算日</w:t>
            </w:r>
            <w:r>
              <w:rPr>
                <w:rStyle w:val="16"/>
                <w:rFonts w:hint="eastAsia" w:ascii="宋体" w:hAnsi="宋体"/>
                <w:sz w:val="18"/>
                <w:szCs w:val="18"/>
              </w:rPr>
              <w:t>电能量数据块时，数据块中包含的费率电能以实际设置的费率数为准。</w:t>
            </w:r>
          </w:p>
        </w:tc>
      </w:tr>
    </w:tbl>
    <w:p>
      <w:pPr>
        <w:pStyle w:val="24"/>
        <w:ind w:firstLine="0" w:firstLineChars="0"/>
      </w:pPr>
    </w:p>
    <w:p>
      <w:pPr>
        <w:pStyle w:val="24"/>
        <w:ind w:firstLine="0" w:firstLineChars="0"/>
      </w:pPr>
    </w:p>
    <w:p>
      <w:pPr>
        <w:pStyle w:val="24"/>
        <w:ind w:firstLine="0" w:firstLineChars="0"/>
      </w:pPr>
    </w:p>
    <w:p>
      <w:pPr>
        <w:pStyle w:val="2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A.2 </w:t>
      </w:r>
      <w:r>
        <w:rPr>
          <w:rFonts w:hint="eastAsia" w:ascii="黑体" w:hAnsi="宋体" w:eastAsia="黑体"/>
          <w:color w:val="000000"/>
          <w:szCs w:val="21"/>
        </w:rPr>
        <w:t>变量</w:t>
      </w:r>
      <w:r>
        <w:rPr>
          <w:rFonts w:hint="eastAsia" w:ascii="黑体" w:hAnsi="宋体" w:eastAsia="黑体"/>
          <w:bCs/>
          <w:color w:val="000000"/>
          <w:szCs w:val="21"/>
        </w:rPr>
        <w:t>数据标识编码表</w:t>
      </w:r>
    </w:p>
    <w:tbl>
      <w:tblPr>
        <w:tblStyle w:val="18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2083"/>
        <w:gridCol w:w="713"/>
        <w:gridCol w:w="886"/>
        <w:gridCol w:w="536"/>
        <w:gridCol w:w="536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数据标识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数据格式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长度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pacing w:val="-30"/>
                <w:sz w:val="18"/>
              </w:rPr>
              <w:t>（字节）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功能</w:t>
            </w:r>
          </w:p>
        </w:tc>
        <w:tc>
          <w:tcPr>
            <w:tcW w:w="2778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60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3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713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88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读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写</w:t>
            </w:r>
          </w:p>
        </w:tc>
        <w:tc>
          <w:tcPr>
            <w:tcW w:w="2778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宋体" w:hAnsi="宋体"/>
                <w:color w:val="000000"/>
                <w:spacing w:val="-26"/>
                <w:sz w:val="18"/>
              </w:rPr>
            </w:pPr>
            <w:r>
              <w:rPr>
                <w:rFonts w:ascii="宋体" w:hAnsi="宋体"/>
                <w:color w:val="000000"/>
                <w:spacing w:val="-26"/>
                <w:sz w:val="18"/>
              </w:rPr>
              <w:t>V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*</w:t>
            </w:r>
          </w:p>
        </w:tc>
        <w:tc>
          <w:tcPr>
            <w:tcW w:w="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宋体" w:hAnsi="宋体"/>
                <w:color w:val="000000"/>
                <w:spacing w:val="-26"/>
                <w:sz w:val="18"/>
              </w:rPr>
            </w:pPr>
            <w:r>
              <w:rPr>
                <w:rFonts w:hint="eastAsia" w:ascii="宋体" w:hAnsi="宋体"/>
                <w:color w:val="000000"/>
                <w:spacing w:val="-26"/>
                <w:sz w:val="18"/>
              </w:rPr>
              <w:t>A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*</w:t>
            </w:r>
          </w:p>
        </w:tc>
        <w:tc>
          <w:tcPr>
            <w:tcW w:w="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kW</w:t>
            </w:r>
          </w:p>
        </w:tc>
        <w:tc>
          <w:tcPr>
            <w:tcW w:w="536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18"/>
              </w:rPr>
              <w:t>*</w:t>
            </w:r>
          </w:p>
        </w:tc>
        <w:tc>
          <w:tcPr>
            <w:tcW w:w="536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瞬时有功功率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18"/>
              </w:rPr>
              <w:t>*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功率因数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XX.XX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lang w:val="es-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AR"/>
              </w:rPr>
              <w:t>Hz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pacing w:val="-26"/>
                <w:sz w:val="18"/>
              </w:rPr>
              <w:t>V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电网频率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时钟电池电压(内部)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40" w:type="dxa"/>
            <w:gridSpan w:val="10"/>
          </w:tcPr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</w:t>
            </w:r>
            <w:r>
              <w:rPr>
                <w:rFonts w:hint="eastAsia"/>
                <w:color w:val="000000"/>
                <w:szCs w:val="18"/>
              </w:rPr>
              <w:t xml:space="preserve"> 瞬时有功功率</w:t>
            </w:r>
            <w:r>
              <w:rPr>
                <w:rFonts w:hint="eastAsia" w:hAnsi="宋体"/>
                <w:color w:val="000000"/>
                <w:szCs w:val="18"/>
              </w:rPr>
              <w:t>最高位表示方向，0正、1负。取值范围：0.0000～79.9999。</w:t>
            </w:r>
          </w:p>
          <w:p>
            <w:pPr>
              <w:pStyle w:val="21"/>
              <w:rPr>
                <w:color w:val="000000"/>
              </w:rPr>
            </w:pPr>
            <w:r>
              <w:rPr>
                <w:rFonts w:hint="eastAsia" w:hAnsi="宋体"/>
                <w:color w:val="000000"/>
                <w:szCs w:val="18"/>
              </w:rPr>
              <w:t>2: 电流最高位表示方向，0正、1负，取值范围：0.000～799.999。功率因数最高位表示方向，0正，1负，取值范围：0.000～1.000。</w:t>
            </w:r>
          </w:p>
        </w:tc>
      </w:tr>
    </w:tbl>
    <w:p>
      <w:pPr>
        <w:pStyle w:val="22"/>
        <w:numPr>
          <w:ilvl w:val="0"/>
          <w:numId w:val="0"/>
        </w:numPr>
        <w:tabs>
          <w:tab w:val="clear" w:pos="360"/>
        </w:tabs>
        <w:jc w:val="both"/>
        <w:rPr>
          <w:rFonts w:ascii="黑体" w:eastAsia="黑体"/>
          <w:color w:val="000000"/>
        </w:rPr>
      </w:pPr>
    </w:p>
    <w:p>
      <w:pPr>
        <w:pStyle w:val="2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A.3 事件记录</w:t>
      </w:r>
      <w:r>
        <w:rPr>
          <w:rFonts w:hint="eastAsia" w:ascii="黑体" w:hAnsi="宋体" w:eastAsia="黑体"/>
          <w:bCs/>
          <w:color w:val="000000"/>
          <w:szCs w:val="21"/>
        </w:rPr>
        <w:t>数据标识编码表</w:t>
      </w:r>
    </w:p>
    <w:tbl>
      <w:tblPr>
        <w:tblStyle w:val="18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67"/>
        <w:gridCol w:w="567"/>
        <w:gridCol w:w="567"/>
        <w:gridCol w:w="2126"/>
        <w:gridCol w:w="709"/>
        <w:gridCol w:w="850"/>
        <w:gridCol w:w="567"/>
        <w:gridCol w:w="56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2369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数据标识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数据格式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数据</w:t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长度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pacing w:val="-30"/>
                <w:sz w:val="18"/>
                <w:szCs w:val="18"/>
              </w:rPr>
              <w:t>（字节）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功能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读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写</w:t>
            </w:r>
          </w:p>
        </w:tc>
        <w:tc>
          <w:tcPr>
            <w:tcW w:w="279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XXXXXX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编程总次数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MMDDhhmmss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C0C1C2C3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XXXXXXXX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4×10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（上1次）编程记录：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发生时刻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操作者代码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编程的前10个数据标识码(不足补FFFFFFFFH)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0A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（上2次）编程记录(同上)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（上10次）编程记录(同上)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XXXXXX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校时总次数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C0C1C2C3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MMDDhhmmss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MMDDhhmmss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校时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记录：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操作者代码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校时前时间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校时后时间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8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tabs>
                <w:tab w:val="center" w:pos="162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0A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校时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记录(同上)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（上10次）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校时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记录(同上)</w:t>
            </w:r>
          </w:p>
        </w:tc>
      </w:tr>
    </w:tbl>
    <w:p>
      <w:pPr>
        <w:pStyle w:val="22"/>
        <w:numPr>
          <w:ilvl w:val="0"/>
          <w:numId w:val="0"/>
        </w:numPr>
        <w:tabs>
          <w:tab w:val="clear" w:pos="360"/>
        </w:tabs>
        <w:jc w:val="both"/>
        <w:rPr>
          <w:rFonts w:ascii="黑体" w:eastAsia="黑体"/>
          <w:color w:val="000000"/>
        </w:rPr>
      </w:pPr>
    </w:p>
    <w:p>
      <w:pPr>
        <w:pStyle w:val="22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A.4 </w:t>
      </w:r>
      <w:r>
        <w:rPr>
          <w:rFonts w:hint="eastAsia" w:ascii="黑体" w:hAnsi="宋体" w:eastAsia="黑体"/>
          <w:color w:val="000000"/>
          <w:szCs w:val="21"/>
        </w:rPr>
        <w:t>参变量</w:t>
      </w:r>
      <w:r>
        <w:rPr>
          <w:rFonts w:hint="eastAsia" w:ascii="黑体" w:hAnsi="宋体" w:eastAsia="黑体"/>
          <w:bCs/>
          <w:color w:val="000000"/>
          <w:szCs w:val="21"/>
        </w:rPr>
        <w:t>数据标识编码表</w:t>
      </w:r>
    </w:p>
    <w:tbl>
      <w:tblPr>
        <w:tblStyle w:val="18"/>
        <w:tblW w:w="10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7"/>
        <w:gridCol w:w="567"/>
        <w:gridCol w:w="567"/>
        <w:gridCol w:w="1984"/>
        <w:gridCol w:w="709"/>
        <w:gridCol w:w="992"/>
        <w:gridCol w:w="567"/>
        <w:gridCol w:w="567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数据标识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数据格式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数据</w:t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长度</w:t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30"/>
                <w:sz w:val="18"/>
                <w:szCs w:val="18"/>
              </w:rPr>
              <w:t>（字节）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功能</w:t>
            </w:r>
          </w:p>
        </w:tc>
        <w:tc>
          <w:tcPr>
            <w:tcW w:w="286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写</w:t>
            </w:r>
          </w:p>
        </w:tc>
        <w:tc>
          <w:tcPr>
            <w:tcW w:w="286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06</w:t>
            </w:r>
          </w:p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YYMMDDWW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hmmss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YYMMDDhhmm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YYMMDDhhmm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年月日星期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时分秒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毫秒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年月日时分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年月日时分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日期及星期(其中0代表星期天)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时间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校表脉冲宽度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两套时区表切换时间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两套日时段表切换时间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年时区数p≤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日时段表数q≤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日时段数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每日切换数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 m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费率数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≤63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秒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自动循环显示屏数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每屏显示时间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显示电能小数位数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按键循环显示屏数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09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0D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NNNNNNNNNNNN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NNNNNNNNNNNN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XXXXXXXXXXXX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XXXXXXXXXXXX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XXXXXXXXXXXX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XX…XX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imp/kWh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通信地址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表号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额定电压(ASCII码)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额定电流/基本电流(ASCII码)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最大电流(ASCII码)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有功准确度等级(ASCII码)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电表有功常数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协议版本号(ASCII码)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XXXX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电表运行状态字1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电表运行状态字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有功组合方式特征字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de-DE"/>
              </w:rPr>
              <w:t>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调制型红外光口通信速率特征字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通信口1通信速率特征字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冻结数据模式字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0B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lang w:val="de-D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de-DE"/>
              </w:rPr>
              <w:t>DDhh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日时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每月第1结算日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MMDDNN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MMDDNN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第一套时区表数据：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第1时区起始日期及日时段表号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时区起始日期及日时段表号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hhmmNN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hhmmNN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第一套第1日时段表数据：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第1时段起始时间及费率号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时段起始时间及费率号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第一套第2日时段表数据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MMDDNN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MMDDNN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第二套时区表数据：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第1时区起始日期及日时段表号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时区起始日期及日时段表号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hhmmNN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hhmmNN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第二套第1日时段表数据：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第1时段起始时间及费率号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第14时段起始时间及费率号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第二套第2日时段表数据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（同上）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116" w:type="dxa"/>
            <w:gridSpan w:val="10"/>
          </w:tcPr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</w:t>
            </w:r>
            <w:r>
              <w:rPr>
                <w:rFonts w:hint="eastAsia"/>
                <w:color w:val="000000"/>
                <w:szCs w:val="18"/>
              </w:rPr>
              <w:t xml:space="preserve"> 日时段表号和费率号的起始值为1。</w:t>
            </w:r>
          </w:p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2: 时区表数据不足设置时区数补最后一个时区数据，日时段表数据不足设置日时段数补最后一个日时段数据。</w:t>
            </w:r>
          </w:p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3: 以ASCII传输的数据项，不足字节后补NUL。</w:t>
            </w:r>
          </w:p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: 每月结算日数值如果为9999代表未设置此结算日。</w:t>
            </w:r>
          </w:p>
        </w:tc>
      </w:tr>
    </w:tbl>
    <w:p>
      <w:pPr>
        <w:pStyle w:val="24"/>
        <w:ind w:firstLine="0" w:firstLineChars="0"/>
      </w:pPr>
    </w:p>
    <w:p>
      <w:pPr>
        <w:pStyle w:val="22"/>
        <w:rPr>
          <w:rFonts w:ascii="黑体" w:eastAsia="黑体"/>
          <w:color w:val="000000"/>
        </w:rPr>
      </w:pPr>
      <w:r>
        <w:rPr>
          <w:rFonts w:hint="eastAsia"/>
          <w:color w:val="000000"/>
        </w:rPr>
        <w:t>A</w:t>
      </w:r>
      <w:r>
        <w:rPr>
          <w:rFonts w:hint="eastAsia" w:ascii="黑体" w:eastAsia="黑体"/>
          <w:color w:val="000000"/>
        </w:rPr>
        <w:t xml:space="preserve">.5 </w:t>
      </w:r>
      <w:r>
        <w:rPr>
          <w:rFonts w:hint="eastAsia" w:ascii="黑体" w:hAnsi="宋体" w:eastAsia="黑体"/>
          <w:color w:val="000000"/>
          <w:szCs w:val="21"/>
        </w:rPr>
        <w:t>冻结</w:t>
      </w:r>
      <w:r>
        <w:rPr>
          <w:rFonts w:hint="eastAsia" w:ascii="黑体" w:hAnsi="宋体" w:eastAsia="黑体"/>
          <w:bCs/>
          <w:color w:val="000000"/>
          <w:szCs w:val="21"/>
        </w:rPr>
        <w:t>数据标识编码表</w:t>
      </w:r>
    </w:p>
    <w:tbl>
      <w:tblPr>
        <w:tblStyle w:val="18"/>
        <w:tblW w:w="9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09"/>
        <w:gridCol w:w="567"/>
        <w:gridCol w:w="567"/>
        <w:gridCol w:w="1843"/>
        <w:gridCol w:w="850"/>
        <w:gridCol w:w="992"/>
        <w:gridCol w:w="567"/>
        <w:gridCol w:w="56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2375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数据标识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数据格式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数据</w:t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长度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pacing w:val="-30"/>
                <w:sz w:val="18"/>
                <w:szCs w:val="18"/>
              </w:rPr>
              <w:t>（字节）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功能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写</w:t>
            </w: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（上1次）定时冻结时间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（上1次）定时冻结正向有功电能数据：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（上1次）定时冻结反向有功电能数据：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  <w:tc>
          <w:tcPr>
            <w:tcW w:w="2800" w:type="dxa"/>
          </w:tcPr>
          <w:p>
            <w:pPr>
              <w:ind w:firstLine="21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FF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0C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(上12次)定时冻结数据块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（上1次）瞬时冻结时间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（上1次）瞬时冻结正向有功电能数据：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（上1次）瞬时冻结反向有功电能数据：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（上2次）瞬时冻结时间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（上2次）瞬时冻结正向电能数据：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（上2次）瞬时冻结反向有功电能数据：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（上3次）瞬时冻结时间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（上3次）瞬时冻结正向有功电能数据：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（上3次）瞬时冻结反向有功电能数据：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（上1次）两套时区表切换时间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00" w:hanging="900" w:hangingChars="5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（上1次）两套时区表切换正向有功电能数据：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00" w:hanging="900" w:hangingChars="5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（上1次）两套时区表切换反向有功电能数据：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（上2次）两套时区表切换时间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（上2次）两套时区表切换正向正向有功电能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（上2次）两套时区表切换反向有功电能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FF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（上2次）两套时区表切换数据块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（上1次）两套日时段表切换时间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90" w:hanging="990" w:hangingChars="5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（上1次）两套日时段表切换正向有功电能数据：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90" w:hanging="990" w:hangingChars="5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（上1次）两套日时段表切换反向有功电能数据：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FF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（上1次）两套日时段表切换数据块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YY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MMDD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（上2次）两套日时段表切换时间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90" w:hanging="990" w:hangingChars="5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（上2次）两套日时段表切换正向有功电能数据：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XXXXXX.XX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pacing w:val="3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3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ind w:left="990" w:hanging="990" w:hangingChars="5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（上2次）两套日时段表切换反向有功电能数据：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反向有功总电能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反向有功费率1电能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反向有功费率4电能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32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FF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（上2次）两套日时段表切换数据块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94" w:type="dxa"/>
            <w:gridSpan w:val="10"/>
          </w:tcPr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 按照电能表实际设置的费率数冻结费率电能及发生时间。</w:t>
            </w:r>
          </w:p>
          <w:p>
            <w:pPr>
              <w:pStyle w:val="2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2: n的值为从站实际冻结的费率数加1（1为总量）。</w:t>
            </w:r>
          </w:p>
        </w:tc>
      </w:tr>
    </w:tbl>
    <w:p>
      <w:pPr>
        <w:pStyle w:val="24"/>
        <w:ind w:firstLine="420"/>
      </w:pPr>
    </w:p>
    <w:p>
      <w:pPr>
        <w:pStyle w:val="24"/>
        <w:ind w:firstLine="0" w:firstLineChars="0"/>
      </w:pPr>
    </w:p>
    <w:p>
      <w:pPr>
        <w:pStyle w:val="24"/>
        <w:ind w:firstLine="420"/>
      </w:pPr>
    </w:p>
    <w:p>
      <w:pPr>
        <w:spacing w:line="360" w:lineRule="auto"/>
      </w:pPr>
    </w:p>
    <w:sectPr>
      <w:pgSz w:w="11906" w:h="16838"/>
      <w:pgMar w:top="1440" w:right="1416" w:bottom="1440" w:left="12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6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23"/>
      <w:lvlText w:val="表%2"/>
      <w:lvlJc w:val="left"/>
      <w:pPr>
        <w:tabs>
          <w:tab w:val="left" w:pos="366"/>
        </w:tabs>
        <w:ind w:left="6" w:firstLine="0"/>
      </w:pPr>
      <w:rPr>
        <w:rFonts w:hint="eastAsia" w:ascii="黑体" w:hAnsi="Times New Roman" w:eastAsia="黑体"/>
        <w:b/>
        <w:i w:val="0"/>
        <w:sz w:val="20"/>
      </w:rPr>
    </w:lvl>
    <w:lvl w:ilvl="2" w:tentative="0">
      <w:start w:val="1"/>
      <w:numFmt w:val="none"/>
      <w:suff w:val="nothing"/>
      <w:lvlText w:val="%1表%2(续)"/>
      <w:lvlJc w:val="left"/>
      <w:pPr>
        <w:ind w:left="6" w:firstLine="0"/>
      </w:pPr>
      <w:rPr>
        <w:rFonts w:hint="eastAsia" w:ascii="宋体" w:hAnsi="Times New Roman" w:eastAsia="宋体"/>
        <w:b w:val="0"/>
        <w:i w:val="0"/>
        <w:sz w:val="18"/>
      </w:rPr>
    </w:lvl>
    <w:lvl w:ilvl="3" w:tentative="0">
      <w:start w:val="1"/>
      <w:numFmt w:val="decimal"/>
      <w:suff w:val="nothing"/>
      <w:lvlText w:val="%1%2.%3.%4　"/>
      <w:lvlJc w:val="left"/>
      <w:pPr>
        <w:ind w:left="6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6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6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6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75"/>
        </w:tabs>
        <w:ind w:left="3975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83"/>
        </w:tabs>
        <w:ind w:left="4683" w:hanging="1700"/>
      </w:pPr>
      <w:rPr>
        <w:rFonts w:hint="eastAsia"/>
      </w:rPr>
    </w:lvl>
  </w:abstractNum>
  <w:abstractNum w:abstractNumId="1">
    <w:nsid w:val="1B136F61"/>
    <w:multiLevelType w:val="multilevel"/>
    <w:tmpl w:val="1B136F61"/>
    <w:lvl w:ilvl="0" w:tentative="0">
      <w:start w:val="1"/>
      <w:numFmt w:val="none"/>
      <w:pStyle w:val="2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96E4D7B"/>
    <w:multiLevelType w:val="multilevel"/>
    <w:tmpl w:val="496E4D7B"/>
    <w:lvl w:ilvl="0" w:tentative="0">
      <w:start w:val="1"/>
      <w:numFmt w:val="none"/>
      <w:pStyle w:val="2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0935FA5"/>
    <w:multiLevelType w:val="multilevel"/>
    <w:tmpl w:val="50935FA5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4">
    <w:nsid w:val="7AD5028F"/>
    <w:multiLevelType w:val="multilevel"/>
    <w:tmpl w:val="7AD5028F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2"/>
    <w:rsid w:val="0003666D"/>
    <w:rsid w:val="0007706C"/>
    <w:rsid w:val="0008614C"/>
    <w:rsid w:val="000A2112"/>
    <w:rsid w:val="000B20F8"/>
    <w:rsid w:val="0015314C"/>
    <w:rsid w:val="00182236"/>
    <w:rsid w:val="001D6DEC"/>
    <w:rsid w:val="001F3F4D"/>
    <w:rsid w:val="001F6D83"/>
    <w:rsid w:val="00216601"/>
    <w:rsid w:val="00222A1D"/>
    <w:rsid w:val="0023388C"/>
    <w:rsid w:val="0027767C"/>
    <w:rsid w:val="00283658"/>
    <w:rsid w:val="00291DD5"/>
    <w:rsid w:val="002B709D"/>
    <w:rsid w:val="002C18F8"/>
    <w:rsid w:val="003223A9"/>
    <w:rsid w:val="00366051"/>
    <w:rsid w:val="00377268"/>
    <w:rsid w:val="004133FA"/>
    <w:rsid w:val="00487069"/>
    <w:rsid w:val="005575A5"/>
    <w:rsid w:val="005E5B10"/>
    <w:rsid w:val="005F6A50"/>
    <w:rsid w:val="00611C42"/>
    <w:rsid w:val="00634225"/>
    <w:rsid w:val="00682E04"/>
    <w:rsid w:val="00685341"/>
    <w:rsid w:val="006B423F"/>
    <w:rsid w:val="006B5B1B"/>
    <w:rsid w:val="006B7873"/>
    <w:rsid w:val="006F6390"/>
    <w:rsid w:val="007325F5"/>
    <w:rsid w:val="00742B58"/>
    <w:rsid w:val="007608C8"/>
    <w:rsid w:val="00825405"/>
    <w:rsid w:val="008D707C"/>
    <w:rsid w:val="008F6384"/>
    <w:rsid w:val="00914D85"/>
    <w:rsid w:val="009821B6"/>
    <w:rsid w:val="00A005B8"/>
    <w:rsid w:val="00A2763A"/>
    <w:rsid w:val="00AB5314"/>
    <w:rsid w:val="00BC4AE7"/>
    <w:rsid w:val="00BD68C6"/>
    <w:rsid w:val="00BF4442"/>
    <w:rsid w:val="00C365F7"/>
    <w:rsid w:val="00C37BF6"/>
    <w:rsid w:val="00C4537F"/>
    <w:rsid w:val="00C64BBA"/>
    <w:rsid w:val="00CD34BC"/>
    <w:rsid w:val="00D235FB"/>
    <w:rsid w:val="00D95E46"/>
    <w:rsid w:val="00E25668"/>
    <w:rsid w:val="00E345A5"/>
    <w:rsid w:val="00E42711"/>
    <w:rsid w:val="00E50A9C"/>
    <w:rsid w:val="00E751FB"/>
    <w:rsid w:val="00EA5CD8"/>
    <w:rsid w:val="00F045CC"/>
    <w:rsid w:val="00F57327"/>
    <w:rsid w:val="00F613C1"/>
    <w:rsid w:val="00FA1A97"/>
    <w:rsid w:val="00FB7F2C"/>
    <w:rsid w:val="00FD085C"/>
    <w:rsid w:val="00FD174D"/>
    <w:rsid w:val="048B7202"/>
    <w:rsid w:val="04B173C0"/>
    <w:rsid w:val="05176DE6"/>
    <w:rsid w:val="062B472F"/>
    <w:rsid w:val="06C16E21"/>
    <w:rsid w:val="06D0743C"/>
    <w:rsid w:val="079C4CEA"/>
    <w:rsid w:val="07F93ABA"/>
    <w:rsid w:val="095D5D9E"/>
    <w:rsid w:val="0AB4389F"/>
    <w:rsid w:val="0B7E67EB"/>
    <w:rsid w:val="0BA00E5D"/>
    <w:rsid w:val="0BD341A4"/>
    <w:rsid w:val="0BF20D28"/>
    <w:rsid w:val="0C506B43"/>
    <w:rsid w:val="0D976E5A"/>
    <w:rsid w:val="0E681731"/>
    <w:rsid w:val="0E8335E0"/>
    <w:rsid w:val="0F9E7698"/>
    <w:rsid w:val="10BF5108"/>
    <w:rsid w:val="10E55D36"/>
    <w:rsid w:val="11A30BFE"/>
    <w:rsid w:val="13465DAC"/>
    <w:rsid w:val="136C3A6D"/>
    <w:rsid w:val="145304E8"/>
    <w:rsid w:val="1491798F"/>
    <w:rsid w:val="157C62B1"/>
    <w:rsid w:val="15940DF9"/>
    <w:rsid w:val="168B5B89"/>
    <w:rsid w:val="17830CBD"/>
    <w:rsid w:val="18232427"/>
    <w:rsid w:val="18A85F03"/>
    <w:rsid w:val="19087AAE"/>
    <w:rsid w:val="1A1254D5"/>
    <w:rsid w:val="1A7D41F1"/>
    <w:rsid w:val="1BA55743"/>
    <w:rsid w:val="1C350375"/>
    <w:rsid w:val="1CA93E95"/>
    <w:rsid w:val="1CD736DF"/>
    <w:rsid w:val="1D7879E5"/>
    <w:rsid w:val="20486323"/>
    <w:rsid w:val="207728D1"/>
    <w:rsid w:val="226C14FA"/>
    <w:rsid w:val="23462A6F"/>
    <w:rsid w:val="23906B35"/>
    <w:rsid w:val="2618250D"/>
    <w:rsid w:val="26BC301B"/>
    <w:rsid w:val="26DF6A52"/>
    <w:rsid w:val="26FF4D89"/>
    <w:rsid w:val="282078A3"/>
    <w:rsid w:val="28E848A9"/>
    <w:rsid w:val="29780915"/>
    <w:rsid w:val="29CE7125"/>
    <w:rsid w:val="2AAB580F"/>
    <w:rsid w:val="2AC7529E"/>
    <w:rsid w:val="2AE87872"/>
    <w:rsid w:val="2AEE4FFE"/>
    <w:rsid w:val="2C6C79EE"/>
    <w:rsid w:val="2D223C99"/>
    <w:rsid w:val="2DE60B1E"/>
    <w:rsid w:val="301A3C51"/>
    <w:rsid w:val="31B859A2"/>
    <w:rsid w:val="322B245D"/>
    <w:rsid w:val="32CA2C7F"/>
    <w:rsid w:val="32D955E8"/>
    <w:rsid w:val="33527CC1"/>
    <w:rsid w:val="34C94460"/>
    <w:rsid w:val="34D9161A"/>
    <w:rsid w:val="35316ED2"/>
    <w:rsid w:val="382C33B7"/>
    <w:rsid w:val="38677D19"/>
    <w:rsid w:val="389B5BEA"/>
    <w:rsid w:val="393F1DB2"/>
    <w:rsid w:val="39401BFB"/>
    <w:rsid w:val="3A1B0664"/>
    <w:rsid w:val="3B3C653D"/>
    <w:rsid w:val="3D5358A8"/>
    <w:rsid w:val="3D9B6650"/>
    <w:rsid w:val="3E1B0F79"/>
    <w:rsid w:val="3E787C09"/>
    <w:rsid w:val="3F2B7858"/>
    <w:rsid w:val="3F433E5A"/>
    <w:rsid w:val="3F4D6968"/>
    <w:rsid w:val="3F5D4A04"/>
    <w:rsid w:val="40161C34"/>
    <w:rsid w:val="406A16BE"/>
    <w:rsid w:val="4080508C"/>
    <w:rsid w:val="40DB4E75"/>
    <w:rsid w:val="41566D3D"/>
    <w:rsid w:val="41654DD9"/>
    <w:rsid w:val="4265497C"/>
    <w:rsid w:val="42CD30A6"/>
    <w:rsid w:val="44507AEA"/>
    <w:rsid w:val="44CB096E"/>
    <w:rsid w:val="452177F5"/>
    <w:rsid w:val="453C1F26"/>
    <w:rsid w:val="454C21C0"/>
    <w:rsid w:val="460D207C"/>
    <w:rsid w:val="466A1313"/>
    <w:rsid w:val="46A401F3"/>
    <w:rsid w:val="477B2FE1"/>
    <w:rsid w:val="48A0060F"/>
    <w:rsid w:val="48AB2B47"/>
    <w:rsid w:val="49C97A9C"/>
    <w:rsid w:val="4A1A65A1"/>
    <w:rsid w:val="4A521F7E"/>
    <w:rsid w:val="4B804BEF"/>
    <w:rsid w:val="4CD94E20"/>
    <w:rsid w:val="4CEC18C2"/>
    <w:rsid w:val="4D7E181B"/>
    <w:rsid w:val="4DEF5C6D"/>
    <w:rsid w:val="4DFB02F1"/>
    <w:rsid w:val="4E1C30F3"/>
    <w:rsid w:val="4E670DAE"/>
    <w:rsid w:val="4EA6034D"/>
    <w:rsid w:val="50062DD9"/>
    <w:rsid w:val="50213603"/>
    <w:rsid w:val="504F44D2"/>
    <w:rsid w:val="506121EE"/>
    <w:rsid w:val="50DC1B38"/>
    <w:rsid w:val="50EC1DD2"/>
    <w:rsid w:val="51206DA9"/>
    <w:rsid w:val="51ED74AD"/>
    <w:rsid w:val="525B32AE"/>
    <w:rsid w:val="53AD3B54"/>
    <w:rsid w:val="548670BA"/>
    <w:rsid w:val="54F6522E"/>
    <w:rsid w:val="56530930"/>
    <w:rsid w:val="56582839"/>
    <w:rsid w:val="57E90D14"/>
    <w:rsid w:val="5A093EC3"/>
    <w:rsid w:val="5AD71099"/>
    <w:rsid w:val="5B0A21C1"/>
    <w:rsid w:val="5B550C45"/>
    <w:rsid w:val="5C5F7C1B"/>
    <w:rsid w:val="5D1D6D54"/>
    <w:rsid w:val="5F102A07"/>
    <w:rsid w:val="5F2E1FB7"/>
    <w:rsid w:val="5FD42745"/>
    <w:rsid w:val="5FFC0086"/>
    <w:rsid w:val="60991209"/>
    <w:rsid w:val="60F3495D"/>
    <w:rsid w:val="613B6814"/>
    <w:rsid w:val="617F0202"/>
    <w:rsid w:val="61E66CAD"/>
    <w:rsid w:val="63CB7DC7"/>
    <w:rsid w:val="646002BB"/>
    <w:rsid w:val="651B09EE"/>
    <w:rsid w:val="652512FD"/>
    <w:rsid w:val="660179E7"/>
    <w:rsid w:val="663D1B3C"/>
    <w:rsid w:val="6814614D"/>
    <w:rsid w:val="68C94977"/>
    <w:rsid w:val="6967357B"/>
    <w:rsid w:val="69CE67A3"/>
    <w:rsid w:val="6A155EC1"/>
    <w:rsid w:val="6A1B68A2"/>
    <w:rsid w:val="6ACF3DC7"/>
    <w:rsid w:val="6C8F3DA8"/>
    <w:rsid w:val="6CC232FE"/>
    <w:rsid w:val="6F383D07"/>
    <w:rsid w:val="6FB25BCF"/>
    <w:rsid w:val="70481945"/>
    <w:rsid w:val="70876EAC"/>
    <w:rsid w:val="722D2A5F"/>
    <w:rsid w:val="72340C55"/>
    <w:rsid w:val="72594BA8"/>
    <w:rsid w:val="72717CD1"/>
    <w:rsid w:val="729A0E95"/>
    <w:rsid w:val="743950BE"/>
    <w:rsid w:val="74BA6911"/>
    <w:rsid w:val="75645AA5"/>
    <w:rsid w:val="75C77D48"/>
    <w:rsid w:val="76CF057A"/>
    <w:rsid w:val="77270C09"/>
    <w:rsid w:val="7809377A"/>
    <w:rsid w:val="78A13CF9"/>
    <w:rsid w:val="7947013E"/>
    <w:rsid w:val="79676F3A"/>
    <w:rsid w:val="7A6346AB"/>
    <w:rsid w:val="7A8D479E"/>
    <w:rsid w:val="7B9C10D8"/>
    <w:rsid w:val="7CBA54B9"/>
    <w:rsid w:val="7DCE3976"/>
    <w:rsid w:val="7EBD79FB"/>
    <w:rsid w:val="7F537663"/>
    <w:rsid w:val="7F7704AE"/>
    <w:rsid w:val="7F9802FA"/>
    <w:rsid w:val="7FEC2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9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4"/>
    <w:basedOn w:val="1"/>
    <w:next w:val="1"/>
    <w:unhideWhenUsed/>
    <w:uiPriority w:val="39"/>
    <w:pPr>
      <w:ind w:left="1260" w:leftChars="600"/>
    </w:pPr>
  </w:style>
  <w:style w:type="paragraph" w:styleId="12">
    <w:name w:val="toc 6"/>
    <w:basedOn w:val="1"/>
    <w:next w:val="1"/>
    <w:unhideWhenUsed/>
    <w:uiPriority w:val="39"/>
    <w:pPr>
      <w:ind w:left="2100" w:leftChars="1000"/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toc 9"/>
    <w:basedOn w:val="1"/>
    <w:next w:val="1"/>
    <w:unhideWhenUsed/>
    <w:qFormat/>
    <w:uiPriority w:val="39"/>
    <w:pPr>
      <w:ind w:left="3360" w:leftChars="1600"/>
    </w:pPr>
  </w:style>
  <w:style w:type="character" w:styleId="16">
    <w:name w:val="HTML Code"/>
    <w:basedOn w:val="15"/>
    <w:unhideWhenUsed/>
    <w:qFormat/>
    <w:uiPriority w:val="0"/>
    <w:rPr>
      <w:rFonts w:ascii="Courier New" w:hAnsi="Courier New"/>
      <w:sz w:val="20"/>
      <w:szCs w:val="20"/>
    </w:rPr>
  </w:style>
  <w:style w:type="table" w:styleId="18">
    <w:name w:val="Table Grid"/>
    <w:basedOn w:val="1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批注框文本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标题 1 Char"/>
    <w:link w:val="2"/>
    <w:qFormat/>
    <w:uiPriority w:val="0"/>
    <w:rPr>
      <w:b/>
      <w:kern w:val="44"/>
      <w:sz w:val="44"/>
    </w:rPr>
  </w:style>
  <w:style w:type="paragraph" w:customStyle="1" w:styleId="21">
    <w:name w:val="注×："/>
    <w:qFormat/>
    <w:uiPriority w:val="0"/>
    <w:pPr>
      <w:widowControl w:val="0"/>
      <w:numPr>
        <w:ilvl w:val="0"/>
        <w:numId w:val="1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szCs w:val="22"/>
      <w:lang w:val="en-US" w:eastAsia="zh-CN" w:bidi="ar-SA"/>
    </w:rPr>
  </w:style>
  <w:style w:type="paragraph" w:customStyle="1" w:styleId="22">
    <w:name w:val="附录表标题"/>
    <w:basedOn w:val="23"/>
    <w:next w:val="24"/>
    <w:qFormat/>
    <w:uiPriority w:val="0"/>
    <w:pPr>
      <w:numPr>
        <w:ilvl w:val="0"/>
        <w:numId w:val="2"/>
      </w:numPr>
      <w:tabs>
        <w:tab w:val="left" w:pos="210"/>
        <w:tab w:val="left" w:pos="366"/>
        <w:tab w:val="left" w:pos="420"/>
      </w:tabs>
      <w:textAlignment w:val="baseline"/>
    </w:pPr>
    <w:rPr>
      <w:rFonts w:ascii="宋体" w:eastAsia="宋体"/>
      <w:kern w:val="21"/>
    </w:rPr>
  </w:style>
  <w:style w:type="paragraph" w:customStyle="1" w:styleId="23">
    <w:name w:val="正文表标题"/>
    <w:next w:val="24"/>
    <w:qFormat/>
    <w:uiPriority w:val="0"/>
    <w:pPr>
      <w:numPr>
        <w:ilvl w:val="1"/>
        <w:numId w:val="3"/>
      </w:numPr>
      <w:tabs>
        <w:tab w:val="left" w:pos="420"/>
      </w:tabs>
      <w:jc w:val="center"/>
    </w:pPr>
    <w:rPr>
      <w:rFonts w:ascii="黑体" w:hAnsi="Times New Roman" w:eastAsia="黑体" w:cs="Times New Roman"/>
      <w:b/>
      <w:sz w:val="21"/>
      <w:szCs w:val="22"/>
      <w:lang w:val="en-US" w:eastAsia="zh-CN" w:bidi="ar-SA"/>
    </w:rPr>
  </w:style>
  <w:style w:type="paragraph" w:customStyle="1" w:styleId="2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21775-02DD-41FE-9E51-EF347DABB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23</Pages>
  <Words>2217</Words>
  <Characters>12642</Characters>
  <Lines>105</Lines>
  <Paragraphs>29</Paragraphs>
  <ScaleCrop>false</ScaleCrop>
  <LinksUpToDate>false</LinksUpToDate>
  <CharactersWithSpaces>14830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2017-10-21T06:17:00Z</dcterms:created>
  <dc:creator>Sky123.Org</dc:creator>
  <cp:lastModifiedBy>Administrator</cp:lastModifiedBy>
  <dcterms:modified xsi:type="dcterms:W3CDTF">2017-11-04T07:41:20Z</dcterms:modified>
  <dc:title>三 相 导 轨 式 电 能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